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5A71E" w14:textId="0E4663AF" w:rsidR="006F144C" w:rsidRDefault="006F144C" w:rsidP="006F144C">
      <w:pPr>
        <w:pStyle w:val="Heading1"/>
        <w:jc w:val="center"/>
        <w:rPr>
          <w:b/>
          <w:bCs/>
          <w:u w:val="single"/>
        </w:rPr>
      </w:pPr>
      <w:r>
        <w:rPr>
          <w:noProof/>
          <w:lang w:eastAsia="en-GB"/>
        </w:rPr>
        <w:drawing>
          <wp:inline distT="0" distB="0" distL="0" distR="0" wp14:anchorId="4AAD2263" wp14:editId="6F0D1A49">
            <wp:extent cx="5692336" cy="1034143"/>
            <wp:effectExtent l="0" t="0" r="0" b="0"/>
            <wp:docPr id="1" name="Picture 1" descr="Blue text on a black background&#10;&#10;Description automatically generated with medium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with medium confidenc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59117" cy="1046275"/>
                    </a:xfrm>
                    <a:prstGeom prst="rect">
                      <a:avLst/>
                    </a:prstGeom>
                    <a:noFill/>
                    <a:ln>
                      <a:noFill/>
                    </a:ln>
                  </pic:spPr>
                </pic:pic>
              </a:graphicData>
            </a:graphic>
          </wp:inline>
        </w:drawing>
      </w:r>
    </w:p>
    <w:p w14:paraId="0D22F4E4" w14:textId="321F986D" w:rsidR="006F144C" w:rsidRDefault="00103BE7" w:rsidP="006F144C">
      <w:pPr>
        <w:pStyle w:val="Heading1"/>
        <w:jc w:val="center"/>
        <w:rPr>
          <w:b/>
          <w:bCs/>
          <w:sz w:val="40"/>
          <w:szCs w:val="40"/>
        </w:rPr>
      </w:pPr>
      <w:r>
        <w:rPr>
          <w:b/>
          <w:bCs/>
          <w:i/>
          <w:iCs/>
          <w:sz w:val="40"/>
          <w:szCs w:val="40"/>
        </w:rPr>
        <w:t xml:space="preserve">Research Insights: </w:t>
      </w:r>
      <w:r w:rsidR="00F14DA0">
        <w:rPr>
          <w:b/>
          <w:bCs/>
          <w:sz w:val="40"/>
          <w:szCs w:val="40"/>
        </w:rPr>
        <w:t>Clinical Prevention Interventions and Pathways</w:t>
      </w:r>
    </w:p>
    <w:p w14:paraId="170F1768" w14:textId="45F6FB8D" w:rsidR="00F51A7F" w:rsidRDefault="003C1981" w:rsidP="006F144C">
      <w:pPr>
        <w:pStyle w:val="Heading1"/>
        <w:jc w:val="center"/>
        <w:rPr>
          <w:rStyle w:val="SubtleEmphasis"/>
        </w:rPr>
      </w:pPr>
      <w:bookmarkStart w:id="0" w:name="_Hlk135741775"/>
      <w:r w:rsidRPr="006F144C">
        <w:rPr>
          <w:rStyle w:val="SubtleEmphasis"/>
        </w:rPr>
        <w:t>A Divers</w:t>
      </w:r>
      <w:r w:rsidR="00CA19F6">
        <w:rPr>
          <w:rStyle w:val="SubtleEmphasis"/>
        </w:rPr>
        <w:t xml:space="preserve"> &amp; M Din</w:t>
      </w:r>
    </w:p>
    <w:p w14:paraId="1899051C" w14:textId="77777777" w:rsidR="00A6238F" w:rsidRDefault="00A6238F" w:rsidP="00171130">
      <w:pPr>
        <w:jc w:val="center"/>
        <w:rPr>
          <w:b/>
          <w:bCs/>
          <w:i/>
          <w:iCs/>
          <w:sz w:val="24"/>
          <w:szCs w:val="24"/>
        </w:rPr>
      </w:pPr>
      <w:bookmarkStart w:id="1" w:name="_Hlk145333737"/>
    </w:p>
    <w:p w14:paraId="651257D7" w14:textId="2F7FA1A2" w:rsidR="00171130" w:rsidRPr="00171130" w:rsidRDefault="00AA4C8E" w:rsidP="00171130">
      <w:pPr>
        <w:jc w:val="center"/>
        <w:rPr>
          <w:b/>
          <w:bCs/>
          <w:i/>
          <w:iCs/>
          <w:sz w:val="24"/>
          <w:szCs w:val="24"/>
        </w:rPr>
      </w:pPr>
      <w:r>
        <w:rPr>
          <w:b/>
          <w:bCs/>
          <w:i/>
          <w:iCs/>
          <w:sz w:val="24"/>
          <w:szCs w:val="24"/>
        </w:rPr>
        <w:t>“</w:t>
      </w:r>
      <w:r w:rsidR="00F14DA0" w:rsidRPr="00F14DA0">
        <w:rPr>
          <w:b/>
          <w:bCs/>
          <w:i/>
          <w:iCs/>
          <w:sz w:val="24"/>
          <w:szCs w:val="24"/>
        </w:rPr>
        <w:t>We want to find more diseases and ill health earlier and promote clinical prevention interventions and pathways across the system</w:t>
      </w:r>
      <w:r w:rsidR="00F14DA0">
        <w:rPr>
          <w:b/>
          <w:bCs/>
          <w:i/>
          <w:iCs/>
          <w:sz w:val="24"/>
          <w:szCs w:val="24"/>
        </w:rPr>
        <w:t>”</w:t>
      </w:r>
    </w:p>
    <w:bookmarkEnd w:id="0"/>
    <w:bookmarkEnd w:id="1"/>
    <w:p w14:paraId="72AF4117" w14:textId="4B8A50C8" w:rsidR="00F14DA0" w:rsidRPr="000B6A1A" w:rsidRDefault="00F14DA0" w:rsidP="00F14DA0">
      <w:pPr>
        <w:pStyle w:val="Heading2"/>
      </w:pPr>
      <w:proofErr w:type="spellStart"/>
      <w:r>
        <w:t>Immunisations</w:t>
      </w:r>
      <w:proofErr w:type="spellEnd"/>
      <w:r w:rsidRPr="000B6A1A">
        <w:t xml:space="preserve">: </w:t>
      </w:r>
    </w:p>
    <w:p w14:paraId="3AF11037" w14:textId="4294899C" w:rsidR="00BA051B" w:rsidRPr="006A51B5" w:rsidRDefault="00BA051B" w:rsidP="00BA051B">
      <w:pPr>
        <w:pStyle w:val="ListParagraph"/>
        <w:numPr>
          <w:ilvl w:val="0"/>
          <w:numId w:val="26"/>
        </w:numPr>
        <w:rPr>
          <w:sz w:val="24"/>
          <w:szCs w:val="24"/>
        </w:rPr>
      </w:pPr>
      <w:r w:rsidRPr="006A51B5">
        <w:rPr>
          <w:sz w:val="24"/>
          <w:szCs w:val="24"/>
        </w:rPr>
        <w:t xml:space="preserve">Looked After Children are less likely to be up to date with their </w:t>
      </w:r>
      <w:proofErr w:type="spellStart"/>
      <w:r w:rsidRPr="006A51B5">
        <w:rPr>
          <w:sz w:val="24"/>
          <w:szCs w:val="24"/>
        </w:rPr>
        <w:t>immunisations</w:t>
      </w:r>
      <w:proofErr w:type="spellEnd"/>
      <w:r w:rsidRPr="006A51B5">
        <w:rPr>
          <w:sz w:val="24"/>
          <w:szCs w:val="24"/>
        </w:rPr>
        <w:t xml:space="preserve"> than the general population. Older Children and Young people in care are less likely to</w:t>
      </w:r>
    </w:p>
    <w:p w14:paraId="48610D03" w14:textId="6B1537EE" w:rsidR="00F14DA0" w:rsidRPr="006A51B5" w:rsidRDefault="00BA051B" w:rsidP="00BA051B">
      <w:pPr>
        <w:pStyle w:val="ListParagraph"/>
        <w:rPr>
          <w:sz w:val="24"/>
          <w:szCs w:val="24"/>
        </w:rPr>
      </w:pPr>
      <w:r w:rsidRPr="006A51B5">
        <w:rPr>
          <w:sz w:val="24"/>
          <w:szCs w:val="24"/>
        </w:rPr>
        <w:t xml:space="preserve">have up to date </w:t>
      </w:r>
      <w:proofErr w:type="spellStart"/>
      <w:r w:rsidRPr="006A51B5">
        <w:rPr>
          <w:sz w:val="24"/>
          <w:szCs w:val="24"/>
        </w:rPr>
        <w:t>immunisations</w:t>
      </w:r>
      <w:proofErr w:type="spellEnd"/>
      <w:r w:rsidRPr="006A51B5">
        <w:rPr>
          <w:sz w:val="24"/>
          <w:szCs w:val="24"/>
        </w:rPr>
        <w:t xml:space="preserve"> than younger children in care </w:t>
      </w:r>
      <w:r w:rsidRPr="006A51B5">
        <w:rPr>
          <w:sz w:val="24"/>
          <w:szCs w:val="24"/>
        </w:rPr>
        <w:fldChar w:fldCharType="begin"/>
      </w:r>
      <w:r w:rsidR="006A51B5" w:rsidRPr="006A51B5">
        <w:rPr>
          <w:sz w:val="24"/>
          <w:szCs w:val="24"/>
        </w:rPr>
        <w:instrText xml:space="preserve"> ADDIN EN.CITE &lt;EndNote&gt;&lt;Cite&gt;&lt;Author&gt;Sims&lt;/Author&gt;&lt;Year&gt;2022&lt;/Year&gt;&lt;RecNum&gt;1442&lt;/RecNum&gt;&lt;DisplayText&gt;(Sims &amp;amp; Sherwood, 2022)&lt;/DisplayText&gt;&lt;record&gt;&lt;rec-number&gt;1442&lt;/rec-number&gt;&lt;foreign-keys&gt;&lt;key app="EN" db-id="xs9axatw70vf2ze9vdmxt0skppvsfd0tst5z" timestamp="1694431555" guid="f5a5489c-4ba9-47df-9fb4-d7870814c352"&gt;1442&lt;/key&gt;&lt;/foreign-keys&gt;&lt;ref-type name="Generic"&gt;13&lt;/ref-type&gt;&lt;contributors&gt;&lt;authors&gt;&lt;author&gt;Sims, Jack&lt;/author&gt;&lt;author&gt;Sherwood, Naomi&lt;/author&gt;&lt;/authors&gt;&lt;/contributors&gt;&lt;titles&gt;&lt;title&gt;1169 Identification and catch-up of incomplete childhood immunisations for looked after children at the initial health assessment&lt;/title&gt;&lt;/titles&gt;&lt;dates&gt;&lt;year&gt;2022&lt;/year&gt;&lt;/dates&gt;&lt;publisher&gt;BMJ Publishing Group Ltd&lt;/publisher&gt;&lt;isbn&gt;0003-9888&lt;/isbn&gt;&lt;urls&gt;&lt;/urls&gt;&lt;/record&gt;&lt;/Cite&gt;&lt;/EndNote&gt;</w:instrText>
      </w:r>
      <w:r w:rsidRPr="006A51B5">
        <w:rPr>
          <w:sz w:val="24"/>
          <w:szCs w:val="24"/>
        </w:rPr>
        <w:fldChar w:fldCharType="separate"/>
      </w:r>
      <w:r w:rsidRPr="006A51B5">
        <w:rPr>
          <w:noProof/>
          <w:sz w:val="24"/>
          <w:szCs w:val="24"/>
        </w:rPr>
        <w:t>(Sims &amp; Sherwood, 2022)</w:t>
      </w:r>
      <w:r w:rsidRPr="006A51B5">
        <w:rPr>
          <w:sz w:val="24"/>
          <w:szCs w:val="24"/>
        </w:rPr>
        <w:fldChar w:fldCharType="end"/>
      </w:r>
    </w:p>
    <w:p w14:paraId="695D64BB" w14:textId="462436D0" w:rsidR="00BA051B" w:rsidRPr="006A51B5" w:rsidRDefault="00BA051B" w:rsidP="00BA051B">
      <w:pPr>
        <w:pStyle w:val="ListParagraph"/>
        <w:numPr>
          <w:ilvl w:val="0"/>
          <w:numId w:val="26"/>
        </w:numPr>
        <w:rPr>
          <w:sz w:val="24"/>
          <w:szCs w:val="24"/>
        </w:rPr>
      </w:pPr>
      <w:r w:rsidRPr="006A51B5">
        <w:rPr>
          <w:sz w:val="24"/>
          <w:szCs w:val="24"/>
        </w:rPr>
        <w:t xml:space="preserve">Protection Motivation Theory and conspiracy beliefs predict COVID-19 booster vaccination in minority ethnic individuals. To help increase vaccine uptake, community leaders need to be involved in addressing people’s concerns, misassumptions, and lack of confidence in COVID-19 vaccination </w:t>
      </w:r>
      <w:r w:rsidRPr="006A51B5">
        <w:rPr>
          <w:sz w:val="24"/>
          <w:szCs w:val="24"/>
        </w:rPr>
        <w:fldChar w:fldCharType="begin"/>
      </w:r>
      <w:r w:rsidR="006A51B5" w:rsidRPr="006A51B5">
        <w:rPr>
          <w:sz w:val="24"/>
          <w:szCs w:val="24"/>
        </w:rPr>
        <w:instrText xml:space="preserve"> ADDIN EN.CITE &lt;EndNote&gt;&lt;Cite&gt;&lt;Author&gt;Eberhardt&lt;/Author&gt;&lt;Year&gt;2023&lt;/Year&gt;&lt;RecNum&gt;1443&lt;/RecNum&gt;&lt;DisplayText&gt;(Eberhardt&lt;style face="italic"&gt; et al.&lt;/style&gt;, 2023; Eberhardt &amp;amp; Ling, 2023)&lt;/DisplayText&gt;&lt;record&gt;&lt;rec-number&gt;1443&lt;/rec-number&gt;&lt;foreign-keys&gt;&lt;key app="EN" db-id="xs9axatw70vf2ze9vdmxt0skppvsfd0tst5z" timestamp="1694431714" guid="3b11ef43-b35f-4c05-87ca-2c4b3af851d5"&gt;1443&lt;/key&gt;&lt;/foreign-keys&gt;&lt;ref-type name="Conference Proceedings"&gt;10&lt;/ref-type&gt;&lt;contributors&gt;&lt;authors&gt;&lt;author&gt;Eberhardt, Judith&lt;/author&gt;&lt;author&gt;Kabuye, John&lt;/author&gt;&lt;author&gt;Agaimwonyi, Alyssa&lt;/author&gt;&lt;author&gt;Ling, Jonathan&lt;/author&gt;&lt;/authors&gt;&lt;/contributors&gt;&lt;titles&gt;&lt;title&gt;COVID-19 Booster Vaccine Acceptance in Ethnic Minority Individuals in the United Kingdom: A mixed-methods study using Protection Motivation Theory&lt;/title&gt;&lt;secondary-title&gt;18th European Congress of Psychology 2023&lt;/secondary-title&gt;&lt;/titles&gt;&lt;dates&gt;&lt;year&gt;2023&lt;/year&gt;&lt;/dates&gt;&lt;urls&gt;&lt;/urls&gt;&lt;/record&gt;&lt;/Cite&gt;&lt;Cite&gt;&lt;Author&gt;Eberhardt&lt;/Author&gt;&lt;Year&gt;2023&lt;/Year&gt;&lt;RecNum&gt;1444&lt;/RecNum&gt;&lt;record&gt;&lt;rec-number&gt;1444&lt;/rec-number&gt;&lt;foreign-keys&gt;&lt;key app="EN" db-id="xs9axatw70vf2ze9vdmxt0skppvsfd0tst5z" timestamp="1694431817" guid="165b3dab-01c8-495f-9685-b88f13062184"&gt;1444&lt;/key&gt;&lt;/foreign-keys&gt;&lt;ref-type name="Journal Article"&gt;17&lt;/ref-type&gt;&lt;contributors&gt;&lt;authors&gt;&lt;author&gt;Eberhardt, Judith&lt;/author&gt;&lt;author&gt;Ling, Jonathan&lt;/author&gt;&lt;/authors&gt;&lt;/contributors&gt;&lt;titles&gt;&lt;title&gt;Explaining COVID-19 vaccination intention in younger adults using protection motivation theory&lt;/title&gt;&lt;secondary-title&gt;Health Psychology&lt;/secondary-title&gt;&lt;/titles&gt;&lt;periodical&gt;&lt;full-title&gt;Health Psychology&lt;/full-title&gt;&lt;/periodical&gt;&lt;pages&gt;577&lt;/pages&gt;&lt;volume&gt;42&lt;/volume&gt;&lt;number&gt;8&lt;/number&gt;&lt;dates&gt;&lt;year&gt;2023&lt;/year&gt;&lt;/dates&gt;&lt;isbn&gt;1433896966&lt;/isbn&gt;&lt;urls&gt;&lt;/urls&gt;&lt;/record&gt;&lt;/Cite&gt;&lt;/EndNote&gt;</w:instrText>
      </w:r>
      <w:r w:rsidRPr="006A51B5">
        <w:rPr>
          <w:sz w:val="24"/>
          <w:szCs w:val="24"/>
        </w:rPr>
        <w:fldChar w:fldCharType="separate"/>
      </w:r>
      <w:r w:rsidRPr="006A51B5">
        <w:rPr>
          <w:noProof/>
          <w:sz w:val="24"/>
          <w:szCs w:val="24"/>
        </w:rPr>
        <w:t>(Eberhardt</w:t>
      </w:r>
      <w:r w:rsidRPr="006A51B5">
        <w:rPr>
          <w:i/>
          <w:noProof/>
          <w:sz w:val="24"/>
          <w:szCs w:val="24"/>
        </w:rPr>
        <w:t xml:space="preserve"> et al.</w:t>
      </w:r>
      <w:r w:rsidRPr="006A51B5">
        <w:rPr>
          <w:noProof/>
          <w:sz w:val="24"/>
          <w:szCs w:val="24"/>
        </w:rPr>
        <w:t>, 2023; Eberhardt &amp; Ling, 2023)</w:t>
      </w:r>
      <w:r w:rsidRPr="006A51B5">
        <w:rPr>
          <w:sz w:val="24"/>
          <w:szCs w:val="24"/>
        </w:rPr>
        <w:fldChar w:fldCharType="end"/>
      </w:r>
      <w:r w:rsidRPr="006A51B5">
        <w:rPr>
          <w:sz w:val="24"/>
          <w:szCs w:val="24"/>
        </w:rPr>
        <w:t xml:space="preserve"> </w:t>
      </w:r>
    </w:p>
    <w:p w14:paraId="36CD8A63" w14:textId="1D8ADE00" w:rsidR="00BA051B" w:rsidRPr="006A51B5" w:rsidRDefault="00BA051B" w:rsidP="00BA051B">
      <w:pPr>
        <w:pStyle w:val="ListParagraph"/>
        <w:numPr>
          <w:ilvl w:val="0"/>
          <w:numId w:val="26"/>
        </w:numPr>
        <w:rPr>
          <w:sz w:val="24"/>
          <w:szCs w:val="24"/>
        </w:rPr>
      </w:pPr>
      <w:r w:rsidRPr="006A51B5">
        <w:rPr>
          <w:sz w:val="24"/>
          <w:szCs w:val="24"/>
        </w:rPr>
        <w:t xml:space="preserve">Children with allergies may have vaccines withheld unnecessarily due to misperceptions about vaccine contraindication </w:t>
      </w:r>
      <w:r w:rsidRPr="006A51B5">
        <w:rPr>
          <w:sz w:val="24"/>
          <w:szCs w:val="24"/>
        </w:rPr>
        <w:fldChar w:fldCharType="begin"/>
      </w:r>
      <w:r w:rsidR="006A51B5" w:rsidRPr="006A51B5">
        <w:rPr>
          <w:sz w:val="24"/>
          <w:szCs w:val="24"/>
        </w:rPr>
        <w:instrText xml:space="preserve"> ADDIN EN.CITE &lt;EndNote&gt;&lt;Cite&gt;&lt;Author&gt;Bedford&lt;/Author&gt;&lt;Year&gt;2020&lt;/Year&gt;&lt;RecNum&gt;1445&lt;/RecNum&gt;&lt;DisplayText&gt;(Bedford &amp;amp; Elliman, 2020)&lt;/DisplayText&gt;&lt;record&gt;&lt;rec-number&gt;1445&lt;/rec-number&gt;&lt;foreign-keys&gt;&lt;key app="EN" db-id="xs9axatw70vf2ze9vdmxt0skppvsfd0tst5z" timestamp="1694432015" guid="cfe07416-e936-42fb-a4a7-cce35277bb82"&gt;1445&lt;/key&gt;&lt;/foreign-keys&gt;&lt;ref-type name="Journal Article"&gt;17&lt;/ref-type&gt;&lt;contributors&gt;&lt;authors&gt;&lt;author&gt;Bedford, Helen E&lt;/author&gt;&lt;author&gt;Elliman, David AC&lt;/author&gt;&lt;/authors&gt;&lt;/contributors&gt;&lt;titles&gt;&lt;title&gt;Child and adolescent immunisation in the UK: current issues&lt;/title&gt;&lt;secondary-title&gt;Paediatrics and Child Health&lt;/secondary-title&gt;&lt;/titles&gt;&lt;periodical&gt;&lt;full-title&gt;Paediatrics and Child Health&lt;/full-title&gt;&lt;/periodical&gt;&lt;pages&gt;169-174&lt;/pages&gt;&lt;volume&gt;30&lt;/volume&gt;&lt;number&gt;5&lt;/number&gt;&lt;dates&gt;&lt;year&gt;2020&lt;/year&gt;&lt;/dates&gt;&lt;isbn&gt;1751-7222&lt;/isbn&gt;&lt;urls&gt;&lt;/urls&gt;&lt;/record&gt;&lt;/Cite&gt;&lt;/EndNote&gt;</w:instrText>
      </w:r>
      <w:r w:rsidRPr="006A51B5">
        <w:rPr>
          <w:sz w:val="24"/>
          <w:szCs w:val="24"/>
        </w:rPr>
        <w:fldChar w:fldCharType="separate"/>
      </w:r>
      <w:r w:rsidRPr="006A51B5">
        <w:rPr>
          <w:noProof/>
          <w:sz w:val="24"/>
          <w:szCs w:val="24"/>
        </w:rPr>
        <w:t>(Bedford &amp; Elliman, 2020)</w:t>
      </w:r>
      <w:r w:rsidRPr="006A51B5">
        <w:rPr>
          <w:sz w:val="24"/>
          <w:szCs w:val="24"/>
        </w:rPr>
        <w:fldChar w:fldCharType="end"/>
      </w:r>
    </w:p>
    <w:p w14:paraId="4E3CF718" w14:textId="77777777" w:rsidR="00F14DA0" w:rsidRPr="006A51B5" w:rsidRDefault="00F14DA0" w:rsidP="00F14DA0">
      <w:pPr>
        <w:spacing w:after="0" w:line="240" w:lineRule="auto"/>
        <w:rPr>
          <w:b/>
          <w:bCs/>
          <w:sz w:val="24"/>
          <w:szCs w:val="24"/>
        </w:rPr>
      </w:pPr>
      <w:r w:rsidRPr="006A51B5">
        <w:rPr>
          <w:b/>
          <w:bCs/>
          <w:sz w:val="24"/>
          <w:szCs w:val="24"/>
        </w:rPr>
        <w:t>The main recommendations put forward by the above papers include:</w:t>
      </w:r>
    </w:p>
    <w:p w14:paraId="13E026BE" w14:textId="77777777" w:rsidR="00F14DA0" w:rsidRPr="006A51B5" w:rsidRDefault="00F14DA0" w:rsidP="00F14DA0">
      <w:pPr>
        <w:spacing w:after="0" w:line="240" w:lineRule="auto"/>
        <w:rPr>
          <w:rFonts w:asciiTheme="majorHAnsi" w:hAnsiTheme="majorHAnsi" w:cstheme="majorHAnsi"/>
          <w:color w:val="000000" w:themeColor="text1"/>
          <w:sz w:val="24"/>
          <w:szCs w:val="24"/>
        </w:rPr>
      </w:pPr>
    </w:p>
    <w:p w14:paraId="76994BD4" w14:textId="77777777" w:rsidR="00BA051B" w:rsidRPr="006A51B5" w:rsidRDefault="00F14DA0" w:rsidP="00BA051B">
      <w:pPr>
        <w:pStyle w:val="ListParagraph"/>
        <w:numPr>
          <w:ilvl w:val="0"/>
          <w:numId w:val="27"/>
        </w:numPr>
        <w:rPr>
          <w:sz w:val="24"/>
          <w:szCs w:val="24"/>
        </w:rPr>
      </w:pPr>
      <w:r w:rsidRPr="006A51B5">
        <w:rPr>
          <w:b/>
          <w:bCs/>
          <w:sz w:val="24"/>
          <w:szCs w:val="24"/>
        </w:rPr>
        <w:t>A</w:t>
      </w:r>
      <w:r w:rsidR="00BA051B" w:rsidRPr="006A51B5">
        <w:rPr>
          <w:b/>
          <w:bCs/>
          <w:sz w:val="24"/>
          <w:szCs w:val="24"/>
        </w:rPr>
        <w:t xml:space="preserve">lthough successful in the main, </w:t>
      </w:r>
      <w:proofErr w:type="spellStart"/>
      <w:r w:rsidR="00BA051B" w:rsidRPr="006A51B5">
        <w:rPr>
          <w:b/>
          <w:bCs/>
          <w:sz w:val="24"/>
          <w:szCs w:val="24"/>
        </w:rPr>
        <w:t>immunisation</w:t>
      </w:r>
      <w:proofErr w:type="spellEnd"/>
      <w:r w:rsidR="00BA051B" w:rsidRPr="006A51B5">
        <w:rPr>
          <w:b/>
          <w:bCs/>
          <w:sz w:val="24"/>
          <w:szCs w:val="24"/>
        </w:rPr>
        <w:t xml:space="preserve"> programmes are in need of updating to address parental concerns and </w:t>
      </w:r>
      <w:proofErr w:type="gramStart"/>
      <w:r w:rsidR="00BA051B" w:rsidRPr="006A51B5">
        <w:rPr>
          <w:b/>
          <w:bCs/>
          <w:sz w:val="24"/>
          <w:szCs w:val="24"/>
        </w:rPr>
        <w:t>misinformation</w:t>
      </w:r>
      <w:proofErr w:type="gramEnd"/>
    </w:p>
    <w:p w14:paraId="5AFEC041" w14:textId="3D4AB89E" w:rsidR="00BA051B" w:rsidRPr="006A51B5" w:rsidRDefault="00BA051B" w:rsidP="00BA051B">
      <w:pPr>
        <w:pStyle w:val="ListParagraph"/>
        <w:numPr>
          <w:ilvl w:val="0"/>
          <w:numId w:val="27"/>
        </w:numPr>
        <w:rPr>
          <w:b/>
          <w:bCs/>
          <w:sz w:val="24"/>
          <w:szCs w:val="24"/>
        </w:rPr>
      </w:pPr>
      <w:r w:rsidRPr="006A51B5">
        <w:rPr>
          <w:b/>
          <w:bCs/>
          <w:sz w:val="24"/>
          <w:szCs w:val="24"/>
        </w:rPr>
        <w:t xml:space="preserve">There is a need for development of vaccines combatting diseases not currently protected against. Steady progress is being made in the development of vaccines against streptococcus B and respiratory syncytial virus, but they are unlikely to be in use </w:t>
      </w:r>
      <w:proofErr w:type="gramStart"/>
      <w:r w:rsidRPr="006A51B5">
        <w:rPr>
          <w:b/>
          <w:bCs/>
          <w:sz w:val="24"/>
          <w:szCs w:val="24"/>
        </w:rPr>
        <w:t>soon</w:t>
      </w:r>
      <w:proofErr w:type="gramEnd"/>
    </w:p>
    <w:p w14:paraId="4D426F6B" w14:textId="3FE72CD9" w:rsidR="00F14DA0" w:rsidRPr="000B6A1A" w:rsidRDefault="00F14DA0" w:rsidP="00F14DA0">
      <w:pPr>
        <w:pStyle w:val="Heading2"/>
      </w:pPr>
      <w:r>
        <w:t>Cancer Screening</w:t>
      </w:r>
      <w:r w:rsidRPr="000B6A1A">
        <w:t xml:space="preserve">: </w:t>
      </w:r>
    </w:p>
    <w:p w14:paraId="08B92F32" w14:textId="121CABF1" w:rsidR="00F14DA0" w:rsidRPr="006A51B5" w:rsidRDefault="006A51B5" w:rsidP="00F14DA0">
      <w:pPr>
        <w:pStyle w:val="ListParagraph"/>
        <w:numPr>
          <w:ilvl w:val="0"/>
          <w:numId w:val="26"/>
        </w:numPr>
        <w:rPr>
          <w:b/>
          <w:bCs/>
          <w:sz w:val="24"/>
          <w:szCs w:val="24"/>
        </w:rPr>
      </w:pPr>
      <w:r w:rsidRPr="006A51B5">
        <w:rPr>
          <w:sz w:val="24"/>
          <w:szCs w:val="24"/>
        </w:rPr>
        <w:t>Approximately 367,000 new incidents of cancer are diagnosed within the United Kingdom (UK) each year, with around 1,700 new cases being diagnosed in Middlesbrough. Compared to national averages, Middlesbrough has a lower percentage of early diagnose of cancer, and higher rate of age-</w:t>
      </w:r>
      <w:proofErr w:type="spellStart"/>
      <w:r w:rsidRPr="006A51B5">
        <w:rPr>
          <w:sz w:val="24"/>
          <w:szCs w:val="24"/>
        </w:rPr>
        <w:t>standardised</w:t>
      </w:r>
      <w:proofErr w:type="spellEnd"/>
      <w:r w:rsidRPr="006A51B5">
        <w:rPr>
          <w:sz w:val="24"/>
          <w:szCs w:val="24"/>
        </w:rPr>
        <w:t xml:space="preserve"> early deaths attributable to cancer </w:t>
      </w:r>
      <w:r w:rsidRPr="006A51B5">
        <w:rPr>
          <w:sz w:val="24"/>
          <w:szCs w:val="24"/>
        </w:rPr>
        <w:fldChar w:fldCharType="begin"/>
      </w:r>
      <w:r w:rsidR="00215FC8">
        <w:rPr>
          <w:sz w:val="24"/>
          <w:szCs w:val="24"/>
        </w:rPr>
        <w:instrText xml:space="preserve"> ADDIN EN.CITE &lt;EndNote&gt;&lt;Cite&gt;&lt;Author&gt;McGeechan&lt;/Author&gt;&lt;Year&gt;2020&lt;/Year&gt;&lt;RecNum&gt;1446&lt;/RecNum&gt;&lt;DisplayText&gt;(McGeechan&lt;style face="italic"&gt; et al.&lt;/style&gt;, 2020)&lt;/DisplayText&gt;&lt;record&gt;&lt;rec-number&gt;1446&lt;/rec-number&gt;&lt;foreign-keys&gt;&lt;key app="EN" db-id="xs9axatw70vf2ze9vdmxt0skppvsfd0tst5z" timestamp="1694432348" guid="ae2b15f4-cf0b-496c-ac39-6b2af4896089"&gt;1446&lt;/key&gt;&lt;/foreign-keys&gt;&lt;ref-type name="Journal Article"&gt;17&lt;/ref-type&gt;&lt;contributors&gt;&lt;authors&gt;&lt;author&gt;McGeechan, Grant&lt;/author&gt;&lt;author&gt;Burke, Shani&lt;/author&gt;&lt;author&gt;Bussey, Lauren&lt;/author&gt;&lt;author&gt;Slater, Sarah&lt;/author&gt;&lt;/authors&gt;&lt;/contributors&gt;&lt;titles&gt;&lt;title&gt;Final report of Public Health South Tees Cancer Screening Awareness Evaluation&lt;/title&gt;&lt;/titles&gt;&lt;dates&gt;&lt;year&gt;2020&lt;/year&gt;&lt;/dates&gt;&lt;urls&gt;&lt;/urls&gt;&lt;/record&gt;&lt;/Cite&gt;&lt;/EndNote&gt;</w:instrText>
      </w:r>
      <w:r w:rsidRPr="006A51B5">
        <w:rPr>
          <w:sz w:val="24"/>
          <w:szCs w:val="24"/>
        </w:rPr>
        <w:fldChar w:fldCharType="separate"/>
      </w:r>
      <w:r w:rsidRPr="006A51B5">
        <w:rPr>
          <w:noProof/>
          <w:sz w:val="24"/>
          <w:szCs w:val="24"/>
        </w:rPr>
        <w:t>(McGeechan</w:t>
      </w:r>
      <w:r w:rsidRPr="006A51B5">
        <w:rPr>
          <w:i/>
          <w:noProof/>
          <w:sz w:val="24"/>
          <w:szCs w:val="24"/>
        </w:rPr>
        <w:t xml:space="preserve"> et al.</w:t>
      </w:r>
      <w:r w:rsidRPr="006A51B5">
        <w:rPr>
          <w:noProof/>
          <w:sz w:val="24"/>
          <w:szCs w:val="24"/>
        </w:rPr>
        <w:t>, 2020)</w:t>
      </w:r>
      <w:r w:rsidRPr="006A51B5">
        <w:rPr>
          <w:sz w:val="24"/>
          <w:szCs w:val="24"/>
        </w:rPr>
        <w:fldChar w:fldCharType="end"/>
      </w:r>
    </w:p>
    <w:p w14:paraId="6B24AC4B" w14:textId="236DC45F" w:rsidR="006A51B5" w:rsidRPr="00215FC8" w:rsidRDefault="006A51B5" w:rsidP="00F14DA0">
      <w:pPr>
        <w:pStyle w:val="ListParagraph"/>
        <w:numPr>
          <w:ilvl w:val="0"/>
          <w:numId w:val="26"/>
        </w:numPr>
        <w:rPr>
          <w:b/>
          <w:bCs/>
          <w:sz w:val="24"/>
          <w:szCs w:val="24"/>
        </w:rPr>
      </w:pPr>
      <w:r w:rsidRPr="006A51B5">
        <w:rPr>
          <w:sz w:val="24"/>
          <w:szCs w:val="24"/>
        </w:rPr>
        <w:lastRenderedPageBreak/>
        <w:t>Research suggests that the occurrence of most cancers is similar amongst People with Severe Mental Illness (</w:t>
      </w:r>
      <w:proofErr w:type="spellStart"/>
      <w:r w:rsidRPr="006A51B5">
        <w:rPr>
          <w:sz w:val="24"/>
          <w:szCs w:val="24"/>
        </w:rPr>
        <w:t>PwSMI</w:t>
      </w:r>
      <w:proofErr w:type="spellEnd"/>
      <w:r w:rsidRPr="006A51B5">
        <w:rPr>
          <w:sz w:val="24"/>
          <w:szCs w:val="24"/>
        </w:rPr>
        <w:t>), People with Learning Disabilities (</w:t>
      </w:r>
      <w:proofErr w:type="spellStart"/>
      <w:r w:rsidRPr="006A51B5">
        <w:rPr>
          <w:sz w:val="24"/>
          <w:szCs w:val="24"/>
        </w:rPr>
        <w:t>PwLD</w:t>
      </w:r>
      <w:proofErr w:type="spellEnd"/>
      <w:r w:rsidRPr="006A51B5">
        <w:rPr>
          <w:sz w:val="24"/>
          <w:szCs w:val="24"/>
        </w:rPr>
        <w:t xml:space="preserve">) and those without. However, </w:t>
      </w:r>
      <w:proofErr w:type="spellStart"/>
      <w:r w:rsidRPr="006A51B5">
        <w:rPr>
          <w:sz w:val="24"/>
          <w:szCs w:val="24"/>
        </w:rPr>
        <w:t>PwSMI</w:t>
      </w:r>
      <w:proofErr w:type="spellEnd"/>
      <w:r w:rsidRPr="006A51B5">
        <w:rPr>
          <w:sz w:val="24"/>
          <w:szCs w:val="24"/>
        </w:rPr>
        <w:t xml:space="preserve"> and/or </w:t>
      </w:r>
      <w:proofErr w:type="spellStart"/>
      <w:r w:rsidRPr="006A51B5">
        <w:rPr>
          <w:sz w:val="24"/>
          <w:szCs w:val="24"/>
        </w:rPr>
        <w:t>PwLD</w:t>
      </w:r>
      <w:proofErr w:type="spellEnd"/>
      <w:r w:rsidRPr="006A51B5">
        <w:rPr>
          <w:sz w:val="24"/>
          <w:szCs w:val="24"/>
        </w:rPr>
        <w:t xml:space="preserve"> tend to die 15–20 years earlier than the general population. Of these deaths, it is estimated that two out of three are from preventable physical illnesses, with higher rates of premature mortality in the North of England </w:t>
      </w:r>
      <w:r w:rsidRPr="006A51B5">
        <w:rPr>
          <w:sz w:val="24"/>
          <w:szCs w:val="24"/>
        </w:rPr>
        <w:fldChar w:fldCharType="begin"/>
      </w:r>
      <w:r w:rsidR="00215FC8">
        <w:rPr>
          <w:sz w:val="24"/>
          <w:szCs w:val="24"/>
        </w:rPr>
        <w:instrText xml:space="preserve"> ADDIN EN.CITE &lt;EndNote&gt;&lt;Cite&gt;&lt;Author&gt;Sykes&lt;/Author&gt;&lt;Year&gt;2022&lt;/Year&gt;&lt;RecNum&gt;1447&lt;/RecNum&gt;&lt;DisplayText&gt;(Sykes&lt;style face="italic"&gt; et al.&lt;/style&gt;, 2022)&lt;/DisplayText&gt;&lt;record&gt;&lt;rec-number&gt;1447&lt;/rec-number&gt;&lt;foreign-keys&gt;&lt;key app="EN" db-id="xs9axatw70vf2ze9vdmxt0skppvsfd0tst5z" timestamp="1694432650" guid="af92c2c8-09bb-4b27-a666-f38550aeeddf"&gt;1447&lt;/key&gt;&lt;/foreign-keys&gt;&lt;ref-type name="Journal Article"&gt;17&lt;/ref-type&gt;&lt;contributors&gt;&lt;authors&gt;&lt;author&gt;Sykes, Kate&lt;/author&gt;&lt;author&gt;Tuschick, Emma&lt;/author&gt;&lt;author&gt;Giles, Emma L&lt;/author&gt;&lt;author&gt;Kanmodi, Kehinde K&lt;/author&gt;&lt;author&gt;Barker, Jill&lt;/author&gt;&lt;/authors&gt;&lt;/contributors&gt;&lt;titles&gt;&lt;title&gt;A protocol to identify the barriers and facilitators for people with severe mental illness and/or learning disabilities for PErson Centred Cancer Screening Services (PECCS)&lt;/title&gt;&lt;secondary-title&gt;Plos one&lt;/secondary-title&gt;&lt;/titles&gt;&lt;periodical&gt;&lt;full-title&gt;PLOS ONE&lt;/full-title&gt;&lt;/periodical&gt;&lt;pages&gt;e0278238&lt;/pages&gt;&lt;volume&gt;17&lt;/volume&gt;&lt;number&gt;11&lt;/number&gt;&lt;dates&gt;&lt;year&gt;2022&lt;/year&gt;&lt;/dates&gt;&lt;isbn&gt;1932-6203&lt;/isbn&gt;&lt;urls&gt;&lt;/urls&gt;&lt;/record&gt;&lt;/Cite&gt;&lt;/EndNote&gt;</w:instrText>
      </w:r>
      <w:r w:rsidRPr="006A51B5">
        <w:rPr>
          <w:sz w:val="24"/>
          <w:szCs w:val="24"/>
        </w:rPr>
        <w:fldChar w:fldCharType="separate"/>
      </w:r>
      <w:r w:rsidRPr="006A51B5">
        <w:rPr>
          <w:noProof/>
          <w:sz w:val="24"/>
          <w:szCs w:val="24"/>
        </w:rPr>
        <w:t>(Sykes</w:t>
      </w:r>
      <w:r w:rsidRPr="006A51B5">
        <w:rPr>
          <w:i/>
          <w:noProof/>
          <w:sz w:val="24"/>
          <w:szCs w:val="24"/>
        </w:rPr>
        <w:t xml:space="preserve"> et al.</w:t>
      </w:r>
      <w:r w:rsidRPr="006A51B5">
        <w:rPr>
          <w:noProof/>
          <w:sz w:val="24"/>
          <w:szCs w:val="24"/>
        </w:rPr>
        <w:t>, 2022)</w:t>
      </w:r>
      <w:r w:rsidRPr="006A51B5">
        <w:rPr>
          <w:sz w:val="24"/>
          <w:szCs w:val="24"/>
        </w:rPr>
        <w:fldChar w:fldCharType="end"/>
      </w:r>
    </w:p>
    <w:p w14:paraId="673E6606" w14:textId="6B0433C4" w:rsidR="00215FC8" w:rsidRDefault="00215FC8" w:rsidP="00215FC8">
      <w:pPr>
        <w:pStyle w:val="ListParagraph"/>
        <w:numPr>
          <w:ilvl w:val="0"/>
          <w:numId w:val="26"/>
        </w:numPr>
        <w:rPr>
          <w:sz w:val="24"/>
          <w:szCs w:val="24"/>
        </w:rPr>
      </w:pPr>
      <w:r w:rsidRPr="00215FC8">
        <w:rPr>
          <w:sz w:val="24"/>
          <w:szCs w:val="24"/>
        </w:rPr>
        <w:t>Independent Review of Breast Screening Services found that despite “relatively clear governance structures”, a senior responsible owner to ensure the system was functioning correctly was lacking</w:t>
      </w:r>
      <w:r>
        <w:rPr>
          <w:sz w:val="24"/>
          <w:szCs w:val="24"/>
        </w:rPr>
        <w:t xml:space="preserve"> </w:t>
      </w:r>
      <w:r>
        <w:rPr>
          <w:sz w:val="24"/>
          <w:szCs w:val="24"/>
        </w:rPr>
        <w:fldChar w:fldCharType="begin"/>
      </w:r>
      <w:r>
        <w:rPr>
          <w:sz w:val="24"/>
          <w:szCs w:val="24"/>
        </w:rPr>
        <w:instrText xml:space="preserve"> ADDIN EN.CITE &lt;EndNote&gt;&lt;Cite&gt;&lt;Author&gt;Richards&lt;/Author&gt;&lt;Year&gt;2019&lt;/Year&gt;&lt;RecNum&gt;1448&lt;/RecNum&gt;&lt;DisplayText&gt;(Richards, 2019)&lt;/DisplayText&gt;&lt;record&gt;&lt;rec-number&gt;1448&lt;/rec-number&gt;&lt;foreign-keys&gt;&lt;key app="EN" db-id="xs9axatw70vf2ze9vdmxt0skppvsfd0tst5z" timestamp="1694432928" guid="527b434e-61ac-4230-bb28-a311159212f3"&gt;1448&lt;/key&gt;&lt;/foreign-keys&gt;&lt;ref-type name="Journal Article"&gt;17&lt;/ref-type&gt;&lt;contributors&gt;&lt;authors&gt;&lt;author&gt;Richards, M&lt;/author&gt;&lt;/authors&gt;&lt;/contributors&gt;&lt;titles&gt;&lt;title&gt;Independent review of national cancer screening programmes in England&lt;/title&gt;&lt;secondary-title&gt;Interim report of emerging findings&lt;/secondary-title&gt;&lt;/titles&gt;&lt;periodical&gt;&lt;full-title&gt;Interim report of emerging findings&lt;/full-title&gt;&lt;/periodical&gt;&lt;dates&gt;&lt;year&gt;2019&lt;/year&gt;&lt;/dates&gt;&lt;urls&gt;&lt;/urls&gt;&lt;/record&gt;&lt;/Cite&gt;&lt;/EndNote&gt;</w:instrText>
      </w:r>
      <w:r>
        <w:rPr>
          <w:sz w:val="24"/>
          <w:szCs w:val="24"/>
        </w:rPr>
        <w:fldChar w:fldCharType="separate"/>
      </w:r>
      <w:r>
        <w:rPr>
          <w:noProof/>
          <w:sz w:val="24"/>
          <w:szCs w:val="24"/>
        </w:rPr>
        <w:t>(Richards, 2019)</w:t>
      </w:r>
      <w:r>
        <w:rPr>
          <w:sz w:val="24"/>
          <w:szCs w:val="24"/>
        </w:rPr>
        <w:fldChar w:fldCharType="end"/>
      </w:r>
    </w:p>
    <w:p w14:paraId="26F0843C" w14:textId="1A84C071" w:rsidR="00215FC8" w:rsidRPr="00215FC8" w:rsidRDefault="00215FC8" w:rsidP="00215FC8">
      <w:pPr>
        <w:pStyle w:val="ListParagraph"/>
        <w:numPr>
          <w:ilvl w:val="0"/>
          <w:numId w:val="26"/>
        </w:numPr>
        <w:rPr>
          <w:sz w:val="24"/>
          <w:szCs w:val="24"/>
        </w:rPr>
      </w:pPr>
      <w:r w:rsidRPr="00215FC8">
        <w:rPr>
          <w:sz w:val="24"/>
          <w:szCs w:val="24"/>
        </w:rPr>
        <w:t xml:space="preserve">Women with Learning Difficulties </w:t>
      </w:r>
      <w:proofErr w:type="spellStart"/>
      <w:r w:rsidRPr="00215FC8">
        <w:rPr>
          <w:sz w:val="24"/>
          <w:szCs w:val="24"/>
        </w:rPr>
        <w:t>WwLD</w:t>
      </w:r>
      <w:proofErr w:type="spellEnd"/>
      <w:r w:rsidRPr="00215FC8">
        <w:rPr>
          <w:sz w:val="24"/>
          <w:szCs w:val="24"/>
        </w:rPr>
        <w:t xml:space="preserve"> may not attend cancer screening due to fear, concerns over pain, and the potential influence of family carers and paid care workers </w:t>
      </w:r>
      <w:r>
        <w:rPr>
          <w:sz w:val="24"/>
          <w:szCs w:val="24"/>
        </w:rPr>
        <w:fldChar w:fldCharType="begin"/>
      </w:r>
      <w:r w:rsidR="00F76080">
        <w:rPr>
          <w:sz w:val="24"/>
          <w:szCs w:val="24"/>
        </w:rPr>
        <w:instrText xml:space="preserve"> ADDIN EN.CITE &lt;EndNote&gt;&lt;Cite&gt;&lt;Author&gt;Byrnes&lt;/Author&gt;&lt;Year&gt;2020&lt;/Year&gt;&lt;RecNum&gt;1449&lt;/RecNum&gt;&lt;DisplayText&gt;(Byrnes&lt;style face="italic"&gt; et al.&lt;/style&gt;, 2020)&lt;/DisplayText&gt;&lt;record&gt;&lt;rec-number&gt;1449&lt;/rec-number&gt;&lt;foreign-keys&gt;&lt;key app="EN" db-id="xs9axatw70vf2ze9vdmxt0skppvsfd0tst5z" timestamp="1694433142" guid="59c4281b-dfcd-4440-8188-8d61e44bc11a"&gt;1449&lt;/key&gt;&lt;/foreign-keys&gt;&lt;ref-type name="Journal Article"&gt;17&lt;/ref-type&gt;&lt;contributors&gt;&lt;authors&gt;&lt;author&gt;Byrnes, Kate&lt;/author&gt;&lt;author&gt;Hamilton, Sharon&lt;/author&gt;&lt;author&gt;McGeechan, Grant J&lt;/author&gt;&lt;author&gt;O&amp;apos;Malley, Claire&lt;/author&gt;&lt;author&gt;Mankelow, Jagjit&lt;/author&gt;&lt;author&gt;Giles, Emma L&lt;/author&gt;&lt;/authors&gt;&lt;/contributors&gt;&lt;titles&gt;&lt;title&gt;Attitudes and perceptions of people with a learning disability, family carers, and paid care workers towards cancer screening programmes in the United Kingdom: A qualitative systematic review and meta‐aggregation&lt;/title&gt;&lt;secondary-title&gt;Psycho‐Oncology&lt;/secondary-title&gt;&lt;/titles&gt;&lt;periodical&gt;&lt;full-title&gt;Psycho‐Oncology&lt;/full-title&gt;&lt;/periodical&gt;&lt;pages&gt;475-484&lt;/pages&gt;&lt;volume&gt;29&lt;/volume&gt;&lt;number&gt;3&lt;/number&gt;&lt;dates&gt;&lt;year&gt;2020&lt;/year&gt;&lt;/dates&gt;&lt;isbn&gt;1057-9249&lt;/isbn&gt;&lt;urls&gt;&lt;/urls&gt;&lt;/record&gt;&lt;/Cite&gt;&lt;/EndNote&gt;</w:instrText>
      </w:r>
      <w:r>
        <w:rPr>
          <w:sz w:val="24"/>
          <w:szCs w:val="24"/>
        </w:rPr>
        <w:fldChar w:fldCharType="separate"/>
      </w:r>
      <w:r>
        <w:rPr>
          <w:noProof/>
          <w:sz w:val="24"/>
          <w:szCs w:val="24"/>
        </w:rPr>
        <w:t>(Byrnes</w:t>
      </w:r>
      <w:r w:rsidRPr="00215FC8">
        <w:rPr>
          <w:i/>
          <w:noProof/>
          <w:sz w:val="24"/>
          <w:szCs w:val="24"/>
        </w:rPr>
        <w:t xml:space="preserve"> et al.</w:t>
      </w:r>
      <w:r>
        <w:rPr>
          <w:noProof/>
          <w:sz w:val="24"/>
          <w:szCs w:val="24"/>
        </w:rPr>
        <w:t>, 2020)</w:t>
      </w:r>
      <w:r>
        <w:rPr>
          <w:sz w:val="24"/>
          <w:szCs w:val="24"/>
        </w:rPr>
        <w:fldChar w:fldCharType="end"/>
      </w:r>
      <w:r>
        <w:rPr>
          <w:sz w:val="24"/>
          <w:szCs w:val="24"/>
        </w:rPr>
        <w:t>.</w:t>
      </w:r>
    </w:p>
    <w:p w14:paraId="4354440A" w14:textId="77777777" w:rsidR="00F14DA0" w:rsidRPr="006A51B5" w:rsidRDefault="00F14DA0" w:rsidP="00F14DA0">
      <w:pPr>
        <w:spacing w:after="0" w:line="240" w:lineRule="auto"/>
        <w:rPr>
          <w:b/>
          <w:bCs/>
          <w:sz w:val="24"/>
          <w:szCs w:val="24"/>
        </w:rPr>
      </w:pPr>
      <w:r w:rsidRPr="006A51B5">
        <w:rPr>
          <w:b/>
          <w:bCs/>
          <w:sz w:val="24"/>
          <w:szCs w:val="24"/>
        </w:rPr>
        <w:t>The main recommendations put forward by the above papers include:</w:t>
      </w:r>
    </w:p>
    <w:p w14:paraId="12C31A4A" w14:textId="77777777" w:rsidR="00F14DA0" w:rsidRPr="006A51B5" w:rsidRDefault="00F14DA0" w:rsidP="00F14DA0">
      <w:pPr>
        <w:spacing w:after="0" w:line="240" w:lineRule="auto"/>
        <w:rPr>
          <w:rFonts w:asciiTheme="majorHAnsi" w:hAnsiTheme="majorHAnsi" w:cstheme="majorHAnsi"/>
          <w:color w:val="000000" w:themeColor="text1"/>
          <w:sz w:val="24"/>
          <w:szCs w:val="24"/>
        </w:rPr>
      </w:pPr>
    </w:p>
    <w:p w14:paraId="61D43683" w14:textId="2C420344" w:rsidR="00F14DA0" w:rsidRPr="006A51B5" w:rsidRDefault="006A51B5" w:rsidP="00F14DA0">
      <w:pPr>
        <w:pStyle w:val="ListParagraph"/>
        <w:numPr>
          <w:ilvl w:val="0"/>
          <w:numId w:val="27"/>
        </w:numPr>
        <w:rPr>
          <w:b/>
          <w:bCs/>
          <w:sz w:val="24"/>
          <w:szCs w:val="24"/>
        </w:rPr>
      </w:pPr>
      <w:r w:rsidRPr="006A51B5">
        <w:rPr>
          <w:b/>
          <w:bCs/>
          <w:sz w:val="24"/>
          <w:szCs w:val="24"/>
          <w:lang w:eastAsia="en-GB"/>
        </w:rPr>
        <w:t>It is recommended that more emphasis is put on the overarching campaign as awareness of the Reduce Your Risk banner was limited amongst members of the public even when individual campaigns were recognised.</w:t>
      </w:r>
    </w:p>
    <w:p w14:paraId="1386CB85" w14:textId="3EB54767" w:rsidR="006A51B5" w:rsidRPr="006A51B5" w:rsidRDefault="006A51B5" w:rsidP="00F14DA0">
      <w:pPr>
        <w:pStyle w:val="ListParagraph"/>
        <w:numPr>
          <w:ilvl w:val="0"/>
          <w:numId w:val="27"/>
        </w:numPr>
        <w:rPr>
          <w:b/>
          <w:bCs/>
          <w:sz w:val="24"/>
          <w:szCs w:val="24"/>
        </w:rPr>
      </w:pPr>
      <w:r w:rsidRPr="006A51B5">
        <w:rPr>
          <w:b/>
          <w:bCs/>
          <w:sz w:val="24"/>
          <w:szCs w:val="24"/>
          <w:lang w:eastAsia="en-GB"/>
        </w:rPr>
        <w:t>The use of financial incentives to increase attendance at cervical screening appointments is not universally accepted by members of the public.</w:t>
      </w:r>
    </w:p>
    <w:p w14:paraId="09460F71" w14:textId="70147A5C" w:rsidR="006A51B5" w:rsidRDefault="006A51B5" w:rsidP="00F14DA0">
      <w:pPr>
        <w:pStyle w:val="ListParagraph"/>
        <w:numPr>
          <w:ilvl w:val="0"/>
          <w:numId w:val="27"/>
        </w:numPr>
        <w:rPr>
          <w:b/>
          <w:bCs/>
          <w:sz w:val="24"/>
          <w:szCs w:val="24"/>
        </w:rPr>
      </w:pPr>
      <w:r w:rsidRPr="006A51B5">
        <w:rPr>
          <w:b/>
          <w:bCs/>
          <w:sz w:val="24"/>
          <w:szCs w:val="24"/>
          <w:lang w:eastAsia="en-GB"/>
        </w:rPr>
        <w:t xml:space="preserve">Nationally, there is the aim that three </w:t>
      </w:r>
      <w:r w:rsidRPr="006A51B5">
        <w:rPr>
          <w:b/>
          <w:bCs/>
          <w:sz w:val="24"/>
          <w:szCs w:val="24"/>
        </w:rPr>
        <w:t xml:space="preserve">quarters of all cancers will be diagnosed at Stage 1 and 2 by 2028. As such, </w:t>
      </w:r>
      <w:proofErr w:type="gramStart"/>
      <w:r w:rsidRPr="006A51B5">
        <w:rPr>
          <w:b/>
          <w:bCs/>
          <w:sz w:val="24"/>
          <w:szCs w:val="24"/>
        </w:rPr>
        <w:t>cancer  screening</w:t>
      </w:r>
      <w:proofErr w:type="gramEnd"/>
      <w:r w:rsidRPr="006A51B5">
        <w:rPr>
          <w:b/>
          <w:bCs/>
          <w:sz w:val="24"/>
          <w:szCs w:val="24"/>
        </w:rPr>
        <w:t xml:space="preserve"> must be a key consideration alongside diagnostic capacity for cancer more generally.</w:t>
      </w:r>
    </w:p>
    <w:p w14:paraId="6209B800" w14:textId="6804B68F" w:rsidR="00215FC8" w:rsidRPr="00215FC8" w:rsidRDefault="00215FC8" w:rsidP="00F14DA0">
      <w:pPr>
        <w:pStyle w:val="ListParagraph"/>
        <w:numPr>
          <w:ilvl w:val="0"/>
          <w:numId w:val="27"/>
        </w:numPr>
        <w:rPr>
          <w:b/>
          <w:bCs/>
          <w:sz w:val="24"/>
          <w:szCs w:val="24"/>
        </w:rPr>
      </w:pPr>
      <w:r w:rsidRPr="00215FC8">
        <w:rPr>
          <w:b/>
          <w:bCs/>
          <w:sz w:val="24"/>
          <w:szCs w:val="24"/>
        </w:rPr>
        <w:t xml:space="preserve">People with Learning Difficulties need the same opportunities as the general population in accessing health care </w:t>
      </w:r>
      <w:proofErr w:type="gramStart"/>
      <w:r w:rsidRPr="00215FC8">
        <w:rPr>
          <w:b/>
          <w:bCs/>
          <w:sz w:val="24"/>
          <w:szCs w:val="24"/>
        </w:rPr>
        <w:t>system</w:t>
      </w:r>
      <w:proofErr w:type="gramEnd"/>
      <w:r w:rsidRPr="00215FC8">
        <w:rPr>
          <w:b/>
          <w:bCs/>
          <w:sz w:val="24"/>
          <w:szCs w:val="24"/>
        </w:rPr>
        <w:t xml:space="preserve">, including cancer screening. Health care of </w:t>
      </w:r>
      <w:proofErr w:type="spellStart"/>
      <w:r w:rsidRPr="00215FC8">
        <w:rPr>
          <w:b/>
          <w:bCs/>
          <w:sz w:val="24"/>
          <w:szCs w:val="24"/>
        </w:rPr>
        <w:t>WwLD</w:t>
      </w:r>
      <w:proofErr w:type="spellEnd"/>
      <w:r w:rsidRPr="00215FC8">
        <w:rPr>
          <w:b/>
          <w:bCs/>
          <w:sz w:val="24"/>
          <w:szCs w:val="24"/>
        </w:rPr>
        <w:t xml:space="preserve"> needs to be proactive and person-</w:t>
      </w:r>
      <w:proofErr w:type="spellStart"/>
      <w:r w:rsidRPr="00215FC8">
        <w:rPr>
          <w:b/>
          <w:bCs/>
          <w:sz w:val="24"/>
          <w:szCs w:val="24"/>
        </w:rPr>
        <w:t>centred</w:t>
      </w:r>
      <w:proofErr w:type="spellEnd"/>
      <w:r w:rsidRPr="00215FC8">
        <w:rPr>
          <w:b/>
          <w:bCs/>
          <w:sz w:val="24"/>
          <w:szCs w:val="24"/>
        </w:rPr>
        <w:t xml:space="preserve"> throughout the cancer screening pathway. This can include modifications to the invitation process, to not rely on literacy alone and </w:t>
      </w:r>
      <w:proofErr w:type="spellStart"/>
      <w:r w:rsidRPr="00215FC8">
        <w:rPr>
          <w:b/>
          <w:bCs/>
          <w:sz w:val="24"/>
          <w:szCs w:val="24"/>
        </w:rPr>
        <w:t>utilise</w:t>
      </w:r>
      <w:proofErr w:type="spellEnd"/>
      <w:r w:rsidRPr="00215FC8">
        <w:rPr>
          <w:b/>
          <w:bCs/>
          <w:sz w:val="24"/>
          <w:szCs w:val="24"/>
        </w:rPr>
        <w:t xml:space="preserve"> various communication aids including Makaton, or through additional resources such as visual </w:t>
      </w:r>
      <w:proofErr w:type="gramStart"/>
      <w:r w:rsidRPr="00215FC8">
        <w:rPr>
          <w:b/>
          <w:bCs/>
          <w:sz w:val="24"/>
          <w:szCs w:val="24"/>
        </w:rPr>
        <w:t>recordings</w:t>
      </w:r>
      <w:proofErr w:type="gramEnd"/>
    </w:p>
    <w:p w14:paraId="13405BBC" w14:textId="50641199" w:rsidR="00F14DA0" w:rsidRPr="000B6A1A" w:rsidRDefault="00F14DA0" w:rsidP="00F14DA0">
      <w:pPr>
        <w:pStyle w:val="Heading2"/>
      </w:pPr>
      <w:r>
        <w:t>Health Check</w:t>
      </w:r>
      <w:r w:rsidRPr="000B6A1A">
        <w:t xml:space="preserve">: </w:t>
      </w:r>
    </w:p>
    <w:p w14:paraId="4430B9AA" w14:textId="76A4ACAE" w:rsidR="00F72C75" w:rsidRPr="00F72C75" w:rsidRDefault="00F72C75" w:rsidP="00F72C75">
      <w:pPr>
        <w:pStyle w:val="ListParagraph"/>
        <w:numPr>
          <w:ilvl w:val="0"/>
          <w:numId w:val="26"/>
        </w:numPr>
        <w:rPr>
          <w:sz w:val="24"/>
          <w:szCs w:val="24"/>
        </w:rPr>
      </w:pPr>
      <w:r w:rsidRPr="00F72C75">
        <w:rPr>
          <w:sz w:val="24"/>
          <w:szCs w:val="24"/>
        </w:rPr>
        <w:t>There was marked geographical variation in offers (9.2%-95.8%) with greater uptake by the White ethnic group living in least deprived areas, but also among Asian and Black ethnic groups living in more deprived areas. Uptake was lowest among those in the most deprived areas for all ethnicities but especially for White.</w:t>
      </w:r>
      <w:r>
        <w:rPr>
          <w:sz w:val="24"/>
          <w:szCs w:val="24"/>
        </w:rPr>
        <w:t xml:space="preserve"> </w:t>
      </w:r>
      <w:r>
        <w:rPr>
          <w:sz w:val="24"/>
          <w:szCs w:val="24"/>
        </w:rPr>
        <w:fldChar w:fldCharType="begin"/>
      </w:r>
      <w:r w:rsidR="00F76080">
        <w:rPr>
          <w:sz w:val="24"/>
          <w:szCs w:val="24"/>
        </w:rPr>
        <w:instrText xml:space="preserve"> ADDIN EN.CITE &lt;EndNote&gt;&lt;Cite&gt;&lt;Author&gt;Patel&lt;/Author&gt;&lt;Year&gt;2021&lt;/Year&gt;&lt;RecNum&gt;1451&lt;/RecNum&gt;&lt;DisplayText&gt;(Patel&lt;style face="italic"&gt; et al.&lt;/style&gt;, 2021)&lt;/DisplayText&gt;&lt;record&gt;&lt;rec-number&gt;1451&lt;/rec-number&gt;&lt;foreign-keys&gt;&lt;key app="EN" db-id="xs9axatw70vf2ze9vdmxt0skppvsfd0tst5z" timestamp="1694433545" guid="3f8440ed-3558-4c25-98c3-5c7ede8a5857"&gt;1451&lt;/key&gt;&lt;/foreign-keys&gt;&lt;ref-type name="Journal Article"&gt;17&lt;/ref-type&gt;&lt;contributors&gt;&lt;authors&gt;&lt;author&gt;Patel, Riyaz&lt;/author&gt;&lt;author&gt;Barnard, Sharmani&lt;/author&gt;&lt;author&gt;Lagord, Catherine&lt;/author&gt;&lt;author&gt;Thompson, Katherine&lt;/author&gt;&lt;author&gt;Hughes, Andrew&lt;/author&gt;&lt;author&gt;Fox, Sebastian&lt;/author&gt;&lt;author&gt;Evans, Tim&lt;/author&gt;&lt;author&gt;Adomako-Mensah, Vandyck&lt;/author&gt;&lt;author&gt;Springer, Adelle&lt;/author&gt;&lt;author&gt;Nuttall, Micheala&lt;/author&gt;&lt;/authors&gt;&lt;/contributors&gt;&lt;titles&gt;&lt;title&gt;Addressing Health Inequalities Through the NHS Health Check Programme in England&lt;/title&gt;&lt;/titles&gt;&lt;dates&gt;&lt;year&gt;2021&lt;/year&gt;&lt;/dates&gt;&lt;urls&gt;&lt;/urls&gt;&lt;/record&gt;&lt;/Cite&gt;&lt;/EndNote&gt;</w:instrText>
      </w:r>
      <w:r>
        <w:rPr>
          <w:sz w:val="24"/>
          <w:szCs w:val="24"/>
        </w:rPr>
        <w:fldChar w:fldCharType="separate"/>
      </w:r>
      <w:r>
        <w:rPr>
          <w:noProof/>
          <w:sz w:val="24"/>
          <w:szCs w:val="24"/>
        </w:rPr>
        <w:t>(Patel</w:t>
      </w:r>
      <w:r w:rsidRPr="00F72C75">
        <w:rPr>
          <w:i/>
          <w:noProof/>
          <w:sz w:val="24"/>
          <w:szCs w:val="24"/>
        </w:rPr>
        <w:t xml:space="preserve"> et al.</w:t>
      </w:r>
      <w:r>
        <w:rPr>
          <w:noProof/>
          <w:sz w:val="24"/>
          <w:szCs w:val="24"/>
        </w:rPr>
        <w:t>, 2021)</w:t>
      </w:r>
      <w:r>
        <w:rPr>
          <w:sz w:val="24"/>
          <w:szCs w:val="24"/>
        </w:rPr>
        <w:fldChar w:fldCharType="end"/>
      </w:r>
    </w:p>
    <w:p w14:paraId="51AFE06F" w14:textId="1C492C6F" w:rsidR="00F72C75" w:rsidRPr="00F72C75" w:rsidRDefault="00F72C75" w:rsidP="00F72C75">
      <w:pPr>
        <w:pStyle w:val="ListParagraph"/>
        <w:numPr>
          <w:ilvl w:val="0"/>
          <w:numId w:val="26"/>
        </w:numPr>
        <w:rPr>
          <w:sz w:val="24"/>
          <w:szCs w:val="24"/>
        </w:rPr>
      </w:pPr>
      <w:r w:rsidRPr="00F72C75">
        <w:rPr>
          <w:sz w:val="24"/>
          <w:szCs w:val="24"/>
        </w:rPr>
        <w:t xml:space="preserve">Of those attending an NHSHC, CVD risk factors differed by ethnic group, with diabetes and obesity more prevalent among Asian, raised </w:t>
      </w:r>
      <w:proofErr w:type="gramStart"/>
      <w:r w:rsidRPr="00F72C75">
        <w:rPr>
          <w:sz w:val="24"/>
          <w:szCs w:val="24"/>
        </w:rPr>
        <w:t>blood</w:t>
      </w:r>
      <w:proofErr w:type="gramEnd"/>
    </w:p>
    <w:p w14:paraId="6015E37C" w14:textId="3820FEE8" w:rsidR="00F72C75" w:rsidRPr="00F72C75" w:rsidRDefault="00F72C75" w:rsidP="00F72C75">
      <w:pPr>
        <w:pStyle w:val="ListParagraph"/>
        <w:numPr>
          <w:ilvl w:val="0"/>
          <w:numId w:val="26"/>
        </w:numPr>
        <w:rPr>
          <w:sz w:val="24"/>
          <w:szCs w:val="24"/>
        </w:rPr>
      </w:pPr>
      <w:r w:rsidRPr="00F72C75">
        <w:rPr>
          <w:sz w:val="24"/>
          <w:szCs w:val="24"/>
        </w:rPr>
        <w:t>pressure in Black and alcohol use in White ethnic groups</w:t>
      </w:r>
      <w:r>
        <w:rPr>
          <w:sz w:val="24"/>
          <w:szCs w:val="24"/>
        </w:rPr>
        <w:t xml:space="preserve"> </w:t>
      </w:r>
      <w:r>
        <w:rPr>
          <w:sz w:val="24"/>
          <w:szCs w:val="24"/>
        </w:rPr>
        <w:fldChar w:fldCharType="begin"/>
      </w:r>
      <w:r w:rsidR="00F76080">
        <w:rPr>
          <w:sz w:val="24"/>
          <w:szCs w:val="24"/>
        </w:rPr>
        <w:instrText xml:space="preserve"> ADDIN EN.CITE &lt;EndNote&gt;&lt;Cite&gt;&lt;Author&gt;Patel&lt;/Author&gt;&lt;Year&gt;2021&lt;/Year&gt;&lt;RecNum&gt;1451&lt;/RecNum&gt;&lt;DisplayText&gt;(Patel&lt;style face="italic"&gt; et al.&lt;/style&gt;, 2021)&lt;/DisplayText&gt;&lt;record&gt;&lt;rec-number&gt;1451&lt;/rec-number&gt;&lt;foreign-keys&gt;&lt;key app="EN" db-id="xs9axatw70vf2ze9vdmxt0skppvsfd0tst5z" timestamp="1694433545" guid="3f8440ed-3558-4c25-98c3-5c7ede8a5857"&gt;1451&lt;/key&gt;&lt;/foreign-keys&gt;&lt;ref-type name="Journal Article"&gt;17&lt;/ref-type&gt;&lt;contributors&gt;&lt;authors&gt;&lt;author&gt;Patel, Riyaz&lt;/author&gt;&lt;author&gt;Barnard, Sharmani&lt;/author&gt;&lt;author&gt;Lagord, Catherine&lt;/author&gt;&lt;author&gt;Thompson, Katherine&lt;/author&gt;&lt;author&gt;Hughes, Andrew&lt;/author&gt;&lt;author&gt;Fox, Sebastian&lt;/author&gt;&lt;author&gt;Evans, Tim&lt;/author&gt;&lt;author&gt;Adomako-Mensah, Vandyck&lt;/author&gt;&lt;author&gt;Springer, Adelle&lt;/author&gt;&lt;author&gt;Nuttall, Micheala&lt;/author&gt;&lt;/authors&gt;&lt;/contributors&gt;&lt;titles&gt;&lt;title&gt;Addressing Health Inequalities Through the NHS Health Check Programme in England&lt;/title&gt;&lt;/titles&gt;&lt;dates&gt;&lt;year&gt;2021&lt;/year&gt;&lt;/dates&gt;&lt;urls&gt;&lt;/urls&gt;&lt;/record&gt;&lt;/Cite&gt;&lt;/EndNote&gt;</w:instrText>
      </w:r>
      <w:r>
        <w:rPr>
          <w:sz w:val="24"/>
          <w:szCs w:val="24"/>
        </w:rPr>
        <w:fldChar w:fldCharType="separate"/>
      </w:r>
      <w:r>
        <w:rPr>
          <w:noProof/>
          <w:sz w:val="24"/>
          <w:szCs w:val="24"/>
        </w:rPr>
        <w:t>(Patel</w:t>
      </w:r>
      <w:r w:rsidRPr="00F72C75">
        <w:rPr>
          <w:i/>
          <w:noProof/>
          <w:sz w:val="24"/>
          <w:szCs w:val="24"/>
        </w:rPr>
        <w:t xml:space="preserve"> et al.</w:t>
      </w:r>
      <w:r>
        <w:rPr>
          <w:noProof/>
          <w:sz w:val="24"/>
          <w:szCs w:val="24"/>
        </w:rPr>
        <w:t>, 2021)</w:t>
      </w:r>
      <w:r>
        <w:rPr>
          <w:sz w:val="24"/>
          <w:szCs w:val="24"/>
        </w:rPr>
        <w:fldChar w:fldCharType="end"/>
      </w:r>
    </w:p>
    <w:p w14:paraId="6C874634" w14:textId="2EEDE91D" w:rsidR="00F72C75" w:rsidRPr="00F72C75" w:rsidRDefault="00F72C75" w:rsidP="00F72C75">
      <w:pPr>
        <w:pStyle w:val="ListParagraph"/>
        <w:numPr>
          <w:ilvl w:val="0"/>
          <w:numId w:val="26"/>
        </w:numPr>
        <w:rPr>
          <w:sz w:val="24"/>
          <w:szCs w:val="24"/>
        </w:rPr>
      </w:pPr>
      <w:r w:rsidRPr="00F72C75">
        <w:rPr>
          <w:sz w:val="24"/>
          <w:szCs w:val="24"/>
        </w:rPr>
        <w:t xml:space="preserve">Deprivation showed a clear positive association for smoking, </w:t>
      </w:r>
      <w:proofErr w:type="gramStart"/>
      <w:r w:rsidRPr="00F72C75">
        <w:rPr>
          <w:sz w:val="24"/>
          <w:szCs w:val="24"/>
        </w:rPr>
        <w:t>obesity</w:t>
      </w:r>
      <w:proofErr w:type="gramEnd"/>
      <w:r w:rsidRPr="00F72C75">
        <w:rPr>
          <w:sz w:val="24"/>
          <w:szCs w:val="24"/>
        </w:rPr>
        <w:t xml:space="preserve"> and alcohol dependence. Proportionally more interventions were offered to those from deprived areas and Asian and Black ethnic groups, even after adjusting for baseline risk, indicating active efforts to target inequalities</w:t>
      </w:r>
      <w:r>
        <w:rPr>
          <w:sz w:val="24"/>
          <w:szCs w:val="24"/>
        </w:rPr>
        <w:t xml:space="preserve"> </w:t>
      </w:r>
      <w:r>
        <w:rPr>
          <w:sz w:val="24"/>
          <w:szCs w:val="24"/>
        </w:rPr>
        <w:fldChar w:fldCharType="begin"/>
      </w:r>
      <w:r w:rsidR="00F76080">
        <w:rPr>
          <w:sz w:val="24"/>
          <w:szCs w:val="24"/>
        </w:rPr>
        <w:instrText xml:space="preserve"> ADDIN EN.CITE &lt;EndNote&gt;&lt;Cite&gt;&lt;Author&gt;Patel&lt;/Author&gt;&lt;Year&gt;2021&lt;/Year&gt;&lt;RecNum&gt;1451&lt;/RecNum&gt;&lt;DisplayText&gt;(Patel&lt;style face="italic"&gt; et al.&lt;/style&gt;, 2021)&lt;/DisplayText&gt;&lt;record&gt;&lt;rec-number&gt;1451&lt;/rec-number&gt;&lt;foreign-keys&gt;&lt;key app="EN" db-id="xs9axatw70vf2ze9vdmxt0skppvsfd0tst5z" timestamp="1694433545" guid="3f8440ed-3558-4c25-98c3-5c7ede8a5857"&gt;1451&lt;/key&gt;&lt;/foreign-keys&gt;&lt;ref-type name="Journal Article"&gt;17&lt;/ref-type&gt;&lt;contributors&gt;&lt;authors&gt;&lt;author&gt;Patel, Riyaz&lt;/author&gt;&lt;author&gt;Barnard, Sharmani&lt;/author&gt;&lt;author&gt;Lagord, Catherine&lt;/author&gt;&lt;author&gt;Thompson, Katherine&lt;/author&gt;&lt;author&gt;Hughes, Andrew&lt;/author&gt;&lt;author&gt;Fox, Sebastian&lt;/author&gt;&lt;author&gt;Evans, Tim&lt;/author&gt;&lt;author&gt;Adomako-Mensah, Vandyck&lt;/author&gt;&lt;author&gt;Springer, Adelle&lt;/author&gt;&lt;author&gt;Nuttall, Micheala&lt;/author&gt;&lt;/authors&gt;&lt;/contributors&gt;&lt;titles&gt;&lt;title&gt;Addressing Health Inequalities Through the NHS Health Check Programme in England&lt;/title&gt;&lt;/titles&gt;&lt;dates&gt;&lt;year&gt;2021&lt;/year&gt;&lt;/dates&gt;&lt;urls&gt;&lt;/urls&gt;&lt;/record&gt;&lt;/Cite&gt;&lt;/EndNote&gt;</w:instrText>
      </w:r>
      <w:r>
        <w:rPr>
          <w:sz w:val="24"/>
          <w:szCs w:val="24"/>
        </w:rPr>
        <w:fldChar w:fldCharType="separate"/>
      </w:r>
      <w:r>
        <w:rPr>
          <w:noProof/>
          <w:sz w:val="24"/>
          <w:szCs w:val="24"/>
        </w:rPr>
        <w:t>(Patel</w:t>
      </w:r>
      <w:r w:rsidRPr="00F72C75">
        <w:rPr>
          <w:i/>
          <w:noProof/>
          <w:sz w:val="24"/>
          <w:szCs w:val="24"/>
        </w:rPr>
        <w:t xml:space="preserve"> et al.</w:t>
      </w:r>
      <w:r>
        <w:rPr>
          <w:noProof/>
          <w:sz w:val="24"/>
          <w:szCs w:val="24"/>
        </w:rPr>
        <w:t>, 2021)</w:t>
      </w:r>
      <w:r>
        <w:rPr>
          <w:sz w:val="24"/>
          <w:szCs w:val="24"/>
        </w:rPr>
        <w:fldChar w:fldCharType="end"/>
      </w:r>
    </w:p>
    <w:p w14:paraId="270BF60B" w14:textId="6BE4E226" w:rsidR="00F14DA0" w:rsidRPr="00E16AD9" w:rsidRDefault="00E16AD9" w:rsidP="00F14DA0">
      <w:pPr>
        <w:pStyle w:val="ListParagraph"/>
        <w:numPr>
          <w:ilvl w:val="0"/>
          <w:numId w:val="26"/>
        </w:numPr>
        <w:rPr>
          <w:b/>
          <w:bCs/>
          <w:sz w:val="24"/>
          <w:szCs w:val="24"/>
        </w:rPr>
      </w:pPr>
      <w:r w:rsidRPr="00E16AD9">
        <w:rPr>
          <w:sz w:val="24"/>
          <w:szCs w:val="24"/>
        </w:rPr>
        <w:lastRenderedPageBreak/>
        <w:t>Reasons for not attending included lack of awareness or knowledge, misunderstanding the purpose of the NHS Health Check, aversion to preventive medicine, time constraints, difficulties with access to general practices, and doubts regarding pharmacies as appropriate settings</w:t>
      </w:r>
      <w:r>
        <w:rPr>
          <w:sz w:val="24"/>
          <w:szCs w:val="24"/>
        </w:rPr>
        <w:t xml:space="preserve"> </w:t>
      </w:r>
      <w:r>
        <w:rPr>
          <w:sz w:val="24"/>
          <w:szCs w:val="24"/>
        </w:rPr>
        <w:fldChar w:fldCharType="begin"/>
      </w:r>
      <w:r w:rsidR="00F76080">
        <w:rPr>
          <w:sz w:val="24"/>
          <w:szCs w:val="24"/>
        </w:rPr>
        <w:instrText xml:space="preserve"> ADDIN EN.CITE &lt;EndNote&gt;&lt;Cite&gt;&lt;Author&gt;Harte&lt;/Author&gt;&lt;Year&gt;2018&lt;/Year&gt;&lt;RecNum&gt;1450&lt;/RecNum&gt;&lt;DisplayText&gt;(Harte&lt;style face="italic"&gt; et al.&lt;/style&gt;, 2018)&lt;/DisplayText&gt;&lt;record&gt;&lt;rec-number&gt;1450&lt;/rec-number&gt;&lt;foreign-keys&gt;&lt;key app="EN" db-id="xs9axatw70vf2ze9vdmxt0skppvsfd0tst5z" timestamp="1694433273" guid="a421abd9-4fa0-4dc3-ad0c-fa041968c825"&gt;1450&lt;/key&gt;&lt;/foreign-keys&gt;&lt;ref-type name="Journal Article"&gt;17&lt;/ref-type&gt;&lt;contributors&gt;&lt;authors&gt;&lt;author&gt;Harte, Emma&lt;/author&gt;&lt;author&gt;MacLure, Calum&lt;/author&gt;&lt;author&gt;Martin, Adam&lt;/author&gt;&lt;author&gt;Saunders, Catherine L&lt;/author&gt;&lt;author&gt;Meads, Catherine&lt;/author&gt;&lt;author&gt;Walter, Fiona M&lt;/author&gt;&lt;author&gt;Griffin, Simon J&lt;/author&gt;&lt;author&gt;Mant, Jonathan&lt;/author&gt;&lt;author&gt;Usher-Smith, Juliet A&lt;/author&gt;&lt;/authors&gt;&lt;/contributors&gt;&lt;titles&gt;&lt;title&gt;Reasons why people do not attend NHS Health Checks: a systematic review and qualitative synthesis&lt;/title&gt;&lt;secondary-title&gt;British Journal of General Practice&lt;/secondary-title&gt;&lt;/titles&gt;&lt;periodical&gt;&lt;full-title&gt;British Journal of General Practice&lt;/full-title&gt;&lt;/periodical&gt;&lt;pages&gt;e28-e35&lt;/pages&gt;&lt;volume&gt;68&lt;/volume&gt;&lt;number&gt;666&lt;/number&gt;&lt;dates&gt;&lt;year&gt;2018&lt;/year&gt;&lt;/dates&gt;&lt;isbn&gt;0960-1643&lt;/isbn&gt;&lt;urls&gt;&lt;/urls&gt;&lt;/record&gt;&lt;/Cite&gt;&lt;/EndNote&gt;</w:instrText>
      </w:r>
      <w:r>
        <w:rPr>
          <w:sz w:val="24"/>
          <w:szCs w:val="24"/>
        </w:rPr>
        <w:fldChar w:fldCharType="separate"/>
      </w:r>
      <w:r>
        <w:rPr>
          <w:noProof/>
          <w:sz w:val="24"/>
          <w:szCs w:val="24"/>
        </w:rPr>
        <w:t>(Harte</w:t>
      </w:r>
      <w:r w:rsidRPr="00E16AD9">
        <w:rPr>
          <w:i/>
          <w:noProof/>
          <w:sz w:val="24"/>
          <w:szCs w:val="24"/>
        </w:rPr>
        <w:t xml:space="preserve"> et al.</w:t>
      </w:r>
      <w:r>
        <w:rPr>
          <w:noProof/>
          <w:sz w:val="24"/>
          <w:szCs w:val="24"/>
        </w:rPr>
        <w:t>, 2018)</w:t>
      </w:r>
      <w:r>
        <w:rPr>
          <w:sz w:val="24"/>
          <w:szCs w:val="24"/>
        </w:rPr>
        <w:fldChar w:fldCharType="end"/>
      </w:r>
    </w:p>
    <w:p w14:paraId="0E753FAA" w14:textId="3AE9CE7C" w:rsidR="00E16AD9" w:rsidRPr="00E16AD9" w:rsidRDefault="00F72C75" w:rsidP="00F14DA0">
      <w:pPr>
        <w:pStyle w:val="ListParagraph"/>
        <w:numPr>
          <w:ilvl w:val="0"/>
          <w:numId w:val="26"/>
        </w:numPr>
        <w:rPr>
          <w:b/>
          <w:bCs/>
          <w:sz w:val="24"/>
          <w:szCs w:val="24"/>
        </w:rPr>
      </w:pPr>
      <w:r>
        <w:rPr>
          <w:sz w:val="24"/>
          <w:szCs w:val="24"/>
        </w:rPr>
        <w:t>Methods of invitation (letter, email, text etc.) has a significant impact on uptake numbers, with text messages often leading to the highest rates of invitations converted to appointments (Divers, 2023)</w:t>
      </w:r>
    </w:p>
    <w:p w14:paraId="10EAC70F" w14:textId="77777777" w:rsidR="00F14DA0" w:rsidRDefault="00F14DA0" w:rsidP="00F14DA0">
      <w:pPr>
        <w:spacing w:after="0" w:line="240" w:lineRule="auto"/>
        <w:rPr>
          <w:b/>
          <w:bCs/>
          <w:sz w:val="24"/>
          <w:szCs w:val="24"/>
        </w:rPr>
      </w:pPr>
      <w:r w:rsidRPr="00371FBB">
        <w:rPr>
          <w:b/>
          <w:bCs/>
          <w:sz w:val="24"/>
          <w:szCs w:val="24"/>
        </w:rPr>
        <w:t>The main recommendations put forward by the above papers include:</w:t>
      </w:r>
    </w:p>
    <w:p w14:paraId="19E353BB" w14:textId="77777777" w:rsidR="00F14DA0" w:rsidRPr="00371FBB" w:rsidRDefault="00F14DA0" w:rsidP="00F14DA0">
      <w:pPr>
        <w:spacing w:after="0" w:line="240" w:lineRule="auto"/>
        <w:rPr>
          <w:rFonts w:asciiTheme="majorHAnsi" w:hAnsiTheme="majorHAnsi" w:cstheme="majorHAnsi"/>
          <w:color w:val="000000" w:themeColor="text1"/>
        </w:rPr>
      </w:pPr>
    </w:p>
    <w:p w14:paraId="410FF923" w14:textId="5D68C710" w:rsidR="00F14DA0" w:rsidRDefault="00E16AD9" w:rsidP="00E16AD9">
      <w:pPr>
        <w:pStyle w:val="ListParagraph"/>
        <w:numPr>
          <w:ilvl w:val="0"/>
          <w:numId w:val="27"/>
        </w:numPr>
        <w:rPr>
          <w:b/>
          <w:bCs/>
          <w:sz w:val="24"/>
          <w:szCs w:val="24"/>
        </w:rPr>
      </w:pPr>
      <w:r w:rsidRPr="00E16AD9">
        <w:rPr>
          <w:b/>
          <w:bCs/>
          <w:sz w:val="24"/>
          <w:szCs w:val="24"/>
        </w:rPr>
        <w:t xml:space="preserve">The NHSHC offers important opportunities to address health inequality through proportionate universalism and targeting the needs of specific groups. The program is achieving this </w:t>
      </w:r>
      <w:proofErr w:type="gramStart"/>
      <w:r w:rsidRPr="00E16AD9">
        <w:rPr>
          <w:b/>
          <w:bCs/>
          <w:sz w:val="24"/>
          <w:szCs w:val="24"/>
        </w:rPr>
        <w:t>goal, but</w:t>
      </w:r>
      <w:proofErr w:type="gramEnd"/>
      <w:r w:rsidRPr="00E16AD9">
        <w:rPr>
          <w:b/>
          <w:bCs/>
          <w:sz w:val="24"/>
          <w:szCs w:val="24"/>
        </w:rPr>
        <w:t xml:space="preserve"> needs to be offered more equitably and widely across the country with greater efforts to engage those who remain </w:t>
      </w:r>
      <w:r>
        <w:rPr>
          <w:b/>
          <w:bCs/>
          <w:sz w:val="24"/>
          <w:szCs w:val="24"/>
        </w:rPr>
        <w:t>unengaged</w:t>
      </w:r>
      <w:r w:rsidRPr="00E16AD9">
        <w:rPr>
          <w:b/>
          <w:bCs/>
          <w:sz w:val="24"/>
          <w:szCs w:val="24"/>
        </w:rPr>
        <w:t xml:space="preserve"> to support the levelling up agenda</w:t>
      </w:r>
      <w:r w:rsidR="00F72C75">
        <w:rPr>
          <w:b/>
          <w:bCs/>
          <w:sz w:val="24"/>
          <w:szCs w:val="24"/>
        </w:rPr>
        <w:t>.</w:t>
      </w:r>
    </w:p>
    <w:p w14:paraId="630A22DB" w14:textId="24861ABB" w:rsidR="00F72C75" w:rsidRPr="00E16AD9" w:rsidRDefault="00F72C75" w:rsidP="00E16AD9">
      <w:pPr>
        <w:pStyle w:val="ListParagraph"/>
        <w:numPr>
          <w:ilvl w:val="0"/>
          <w:numId w:val="27"/>
        </w:numPr>
        <w:rPr>
          <w:b/>
          <w:bCs/>
          <w:sz w:val="24"/>
          <w:szCs w:val="24"/>
        </w:rPr>
      </w:pPr>
      <w:r>
        <w:rPr>
          <w:b/>
          <w:bCs/>
          <w:sz w:val="24"/>
          <w:szCs w:val="24"/>
        </w:rPr>
        <w:t>There is a need to reduce regional variations in invitations to NHS Health Checks, especially in areas with high deprivation.</w:t>
      </w:r>
    </w:p>
    <w:p w14:paraId="430BF71D" w14:textId="59BE0A19" w:rsidR="00F14DA0" w:rsidRPr="000B6A1A" w:rsidRDefault="00F14DA0" w:rsidP="00F14DA0">
      <w:pPr>
        <w:pStyle w:val="Heading2"/>
      </w:pPr>
      <w:r>
        <w:t>Lung Check</w:t>
      </w:r>
      <w:r w:rsidRPr="000B6A1A">
        <w:t xml:space="preserve">: </w:t>
      </w:r>
    </w:p>
    <w:p w14:paraId="3D13E967" w14:textId="3E49C4C8" w:rsidR="00F14DA0" w:rsidRPr="00F76080" w:rsidRDefault="00F76080" w:rsidP="00F14DA0">
      <w:pPr>
        <w:pStyle w:val="ListParagraph"/>
        <w:numPr>
          <w:ilvl w:val="0"/>
          <w:numId w:val="26"/>
        </w:numPr>
        <w:rPr>
          <w:b/>
          <w:bCs/>
          <w:sz w:val="24"/>
          <w:szCs w:val="24"/>
        </w:rPr>
      </w:pPr>
      <w:proofErr w:type="gramStart"/>
      <w:r w:rsidRPr="00F76080">
        <w:rPr>
          <w:sz w:val="24"/>
          <w:szCs w:val="24"/>
        </w:rPr>
        <w:t>Pre</w:t>
      </w:r>
      <w:proofErr w:type="gramEnd"/>
      <w:r w:rsidRPr="00F76080">
        <w:rPr>
          <w:sz w:val="24"/>
          <w:szCs w:val="24"/>
        </w:rPr>
        <w:t xml:space="preserve"> and post-operative High Intensity Inspiratory Muscle Training (HI-IMT) leads to improvements in Maximal Inspiratory Pressure (MIP) before and after surgery in individuals with known or suspected lung cancer referred for a lung resection. Surgery has a negative impact on MIP. The majority of patients felt HI-IMT helped prepare them for surgery and facilitated recovery </w:t>
      </w:r>
      <w:r w:rsidRPr="00F76080">
        <w:rPr>
          <w:sz w:val="24"/>
          <w:szCs w:val="24"/>
        </w:rPr>
        <w:fldChar w:fldCharType="begin"/>
      </w:r>
      <w:r w:rsidR="00181EDA">
        <w:rPr>
          <w:sz w:val="24"/>
          <w:szCs w:val="24"/>
        </w:rPr>
        <w:instrText xml:space="preserve"> ADDIN EN.CITE &lt;EndNote&gt;&lt;Cite&gt;&lt;Author&gt;Bowe&lt;/Author&gt;&lt;Year&gt;2020&lt;/Year&gt;&lt;RecNum&gt;1452&lt;/RecNum&gt;&lt;DisplayText&gt;(Bowe&lt;style face="italic"&gt; et al.&lt;/style&gt;, 2020)&lt;/DisplayText&gt;&lt;record&gt;&lt;rec-number&gt;1452&lt;/rec-number&gt;&lt;foreign-keys&gt;&lt;key app="EN" db-id="xs9axatw70vf2ze9vdmxt0skppvsfd0tst5z" timestamp="1694434350" guid="5b9a1772-37f0-4bfd-8834-b5df74043019"&gt;1452&lt;/key&gt;&lt;/foreign-keys&gt;&lt;ref-type name="Journal Article"&gt;17&lt;/ref-type&gt;&lt;contributors&gt;&lt;authors&gt;&lt;author&gt;Bowe, F&lt;/author&gt;&lt;author&gt;Paul, I&lt;/author&gt;&lt;author&gt;Ferguson, J&lt;/author&gt;&lt;author&gt;Dunning, J&lt;/author&gt;&lt;author&gt;Harrison, SL&lt;/author&gt;&lt;/authors&gt;&lt;/contributors&gt;&lt;titles&gt;&lt;title&gt;High intensity inspiratory muscle training (HI-IMT) in individuals referred for lung resection surgery&lt;/title&gt;&lt;secondary-title&gt;Physiotherapy&lt;/secondary-title&gt;&lt;/titles&gt;&lt;periodical&gt;&lt;full-title&gt;Physiotherapy&lt;/full-title&gt;&lt;/periodical&gt;&lt;pages&gt;e33-e34&lt;/pages&gt;&lt;volume&gt;107&lt;/volume&gt;&lt;dates&gt;&lt;year&gt;2020&lt;/year&gt;&lt;/dates&gt;&lt;isbn&gt;0031-9406&lt;/isbn&gt;&lt;urls&gt;&lt;/urls&gt;&lt;/record&gt;&lt;/Cite&gt;&lt;/EndNote&gt;</w:instrText>
      </w:r>
      <w:r w:rsidRPr="00F76080">
        <w:rPr>
          <w:sz w:val="24"/>
          <w:szCs w:val="24"/>
        </w:rPr>
        <w:fldChar w:fldCharType="separate"/>
      </w:r>
      <w:r w:rsidRPr="00F76080">
        <w:rPr>
          <w:noProof/>
          <w:sz w:val="24"/>
          <w:szCs w:val="24"/>
        </w:rPr>
        <w:t>(Bowe</w:t>
      </w:r>
      <w:r w:rsidRPr="00F76080">
        <w:rPr>
          <w:i/>
          <w:noProof/>
          <w:sz w:val="24"/>
          <w:szCs w:val="24"/>
        </w:rPr>
        <w:t xml:space="preserve"> et al.</w:t>
      </w:r>
      <w:r w:rsidRPr="00F76080">
        <w:rPr>
          <w:noProof/>
          <w:sz w:val="24"/>
          <w:szCs w:val="24"/>
        </w:rPr>
        <w:t>, 2020)</w:t>
      </w:r>
      <w:r w:rsidRPr="00F76080">
        <w:rPr>
          <w:sz w:val="24"/>
          <w:szCs w:val="24"/>
        </w:rPr>
        <w:fldChar w:fldCharType="end"/>
      </w:r>
    </w:p>
    <w:p w14:paraId="71B7EB50" w14:textId="36BFB844" w:rsidR="00F76080" w:rsidRPr="00F76080" w:rsidRDefault="00F76080" w:rsidP="00F14DA0">
      <w:pPr>
        <w:pStyle w:val="ListParagraph"/>
        <w:numPr>
          <w:ilvl w:val="0"/>
          <w:numId w:val="26"/>
        </w:numPr>
        <w:rPr>
          <w:b/>
          <w:bCs/>
          <w:sz w:val="24"/>
          <w:szCs w:val="24"/>
        </w:rPr>
      </w:pPr>
      <w:r w:rsidRPr="00F76080">
        <w:rPr>
          <w:sz w:val="24"/>
          <w:szCs w:val="24"/>
        </w:rPr>
        <w:t>SARS-CoV-2 can cause respiratory diseases with various manifestations. However, little is known about its potential for lung recovery. Lung ultrasound has shown characteristic changes during COVID-19 and has proven to be useful for triage, diagnosis, and therapy</w:t>
      </w:r>
      <w:r>
        <w:rPr>
          <w:sz w:val="24"/>
          <w:szCs w:val="24"/>
        </w:rPr>
        <w:t xml:space="preserve"> </w:t>
      </w:r>
      <w:r w:rsidRPr="00F76080">
        <w:rPr>
          <w:sz w:val="24"/>
          <w:szCs w:val="24"/>
        </w:rPr>
        <w:fldChar w:fldCharType="begin"/>
      </w:r>
      <w:r w:rsidR="00181EDA">
        <w:rPr>
          <w:sz w:val="24"/>
          <w:szCs w:val="24"/>
        </w:rPr>
        <w:instrText xml:space="preserve"> ADDIN EN.CITE &lt;EndNote&gt;&lt;Cite&gt;&lt;Author&gt;Burkert&lt;/Author&gt;&lt;Year&gt;2023&lt;/Year&gt;&lt;RecNum&gt;1453&lt;/RecNum&gt;&lt;DisplayText&gt;(Burkert&lt;style face="italic"&gt; et al.&lt;/style&gt;, 2023)&lt;/DisplayText&gt;&lt;record&gt;&lt;rec-number&gt;1453&lt;/rec-number&gt;&lt;foreign-keys&gt;&lt;key app="EN" db-id="xs9axatw70vf2ze9vdmxt0skppvsfd0tst5z" timestamp="1694434390" guid="9cbc48bd-aa38-4020-b85b-59be5fe55582"&gt;1453&lt;/key&gt;&lt;/foreign-keys&gt;&lt;ref-type name="Journal Article"&gt;17&lt;/ref-type&gt;&lt;contributors&gt;&lt;authors&gt;&lt;author&gt;Burkert, Julia&lt;/author&gt;&lt;author&gt;Jarman, Robert&lt;/author&gt;&lt;author&gt;Deol, Paramjeet&lt;/author&gt;&lt;/authors&gt;&lt;/contributors&gt;&lt;titles&gt;&lt;title&gt;Evolution of Lung Abnormalities on Lung Ultrasound in Recovery From COVID‐19 Disease—A Prospective, Longitudinal Observational Cohort Study&lt;/title&gt;&lt;secondary-title&gt;Journal of Ultrasound in Medicine&lt;/secondary-title&gt;&lt;/titles&gt;&lt;periodical&gt;&lt;full-title&gt;Journal of Ultrasound in Medicine&lt;/full-title&gt;&lt;/periodical&gt;&lt;pages&gt;147-159&lt;/pages&gt;&lt;volume&gt;42&lt;/volume&gt;&lt;number&gt;1&lt;/number&gt;&lt;dates&gt;&lt;year&gt;2023&lt;/year&gt;&lt;/dates&gt;&lt;isbn&gt;0278-4297&lt;/isbn&gt;&lt;urls&gt;&lt;/urls&gt;&lt;/record&gt;&lt;/Cite&gt;&lt;/EndNote&gt;</w:instrText>
      </w:r>
      <w:r w:rsidRPr="00F76080">
        <w:rPr>
          <w:sz w:val="24"/>
          <w:szCs w:val="24"/>
        </w:rPr>
        <w:fldChar w:fldCharType="separate"/>
      </w:r>
      <w:r w:rsidRPr="00F76080">
        <w:rPr>
          <w:noProof/>
          <w:sz w:val="24"/>
          <w:szCs w:val="24"/>
        </w:rPr>
        <w:t>(Burkert</w:t>
      </w:r>
      <w:r w:rsidRPr="00F76080">
        <w:rPr>
          <w:i/>
          <w:noProof/>
          <w:sz w:val="24"/>
          <w:szCs w:val="24"/>
        </w:rPr>
        <w:t xml:space="preserve"> et al.</w:t>
      </w:r>
      <w:r w:rsidRPr="00F76080">
        <w:rPr>
          <w:noProof/>
          <w:sz w:val="24"/>
          <w:szCs w:val="24"/>
        </w:rPr>
        <w:t>, 2023)</w:t>
      </w:r>
      <w:r w:rsidRPr="00F76080">
        <w:rPr>
          <w:sz w:val="24"/>
          <w:szCs w:val="24"/>
        </w:rPr>
        <w:fldChar w:fldCharType="end"/>
      </w:r>
    </w:p>
    <w:p w14:paraId="26A68A12" w14:textId="1CB9C8A6" w:rsidR="00F76080" w:rsidRPr="00F76080" w:rsidRDefault="00F76080" w:rsidP="00F14DA0">
      <w:pPr>
        <w:pStyle w:val="ListParagraph"/>
        <w:numPr>
          <w:ilvl w:val="0"/>
          <w:numId w:val="26"/>
        </w:numPr>
        <w:rPr>
          <w:b/>
          <w:bCs/>
          <w:sz w:val="24"/>
          <w:szCs w:val="24"/>
        </w:rPr>
      </w:pPr>
      <w:r w:rsidRPr="00F76080">
        <w:rPr>
          <w:sz w:val="24"/>
          <w:szCs w:val="24"/>
        </w:rPr>
        <w:t xml:space="preserve">Rheumatoid arthritis (RA) is associated with a ten-fold increased risk of interstitial lung disease (ILD). The presence of ILD in a patient with RA influences both prognosis and the choice of therapeutic intervention </w:t>
      </w:r>
      <w:r w:rsidRPr="00F76080">
        <w:rPr>
          <w:sz w:val="24"/>
          <w:szCs w:val="24"/>
        </w:rPr>
        <w:fldChar w:fldCharType="begin"/>
      </w:r>
      <w:r w:rsidR="00181EDA">
        <w:rPr>
          <w:sz w:val="24"/>
          <w:szCs w:val="24"/>
        </w:rPr>
        <w:instrText xml:space="preserve"> ADDIN EN.CITE &lt;EndNote&gt;&lt;Cite&gt;&lt;Author&gt;Kelly&lt;/Author&gt;&lt;Year&gt;2021&lt;/Year&gt;&lt;RecNum&gt;1454&lt;/RecNum&gt;&lt;DisplayText&gt;(Kelly&lt;style face="italic"&gt; et al.&lt;/style&gt;, 2021)&lt;/DisplayText&gt;&lt;record&gt;&lt;rec-number&gt;1454&lt;/rec-number&gt;&lt;foreign-keys&gt;&lt;key app="EN" db-id="xs9axatw70vf2ze9vdmxt0skppvsfd0tst5z" timestamp="1694434608" guid="7da8c8ce-7f28-4dac-93e5-42046b33d203"&gt;1454&lt;/key&gt;&lt;/foreign-keys&gt;&lt;ref-type name="Journal Article"&gt;17&lt;/ref-type&gt;&lt;contributors&gt;&lt;authors&gt;&lt;author&gt;Kelly, Clive&lt;/author&gt;&lt;author&gt;Emery, Paul&lt;/author&gt;&lt;author&gt;Dieudé, Philippe&lt;/author&gt;&lt;/authors&gt;&lt;/contributors&gt;&lt;titles&gt;&lt;title&gt;Current issues in rheumatoid arthritis-associated interstitial lung disease&lt;/title&gt;&lt;secondary-title&gt;The Lancet Rheumatology&lt;/secondary-title&gt;&lt;/titles&gt;&lt;periodical&gt;&lt;full-title&gt;The Lancet Rheumatology&lt;/full-title&gt;&lt;/periodical&gt;&lt;pages&gt;e798-e807&lt;/pages&gt;&lt;volume&gt;3&lt;/volume&gt;&lt;number&gt;11&lt;/number&gt;&lt;dates&gt;&lt;year&gt;2021&lt;/year&gt;&lt;/dates&gt;&lt;isbn&gt;2665-9913&lt;/isbn&gt;&lt;urls&gt;&lt;/urls&gt;&lt;/record&gt;&lt;/Cite&gt;&lt;/EndNote&gt;</w:instrText>
      </w:r>
      <w:r w:rsidRPr="00F76080">
        <w:rPr>
          <w:sz w:val="24"/>
          <w:szCs w:val="24"/>
        </w:rPr>
        <w:fldChar w:fldCharType="separate"/>
      </w:r>
      <w:r w:rsidRPr="00F76080">
        <w:rPr>
          <w:noProof/>
          <w:sz w:val="24"/>
          <w:szCs w:val="24"/>
        </w:rPr>
        <w:t>(Kelly</w:t>
      </w:r>
      <w:r w:rsidRPr="00F76080">
        <w:rPr>
          <w:i/>
          <w:noProof/>
          <w:sz w:val="24"/>
          <w:szCs w:val="24"/>
        </w:rPr>
        <w:t xml:space="preserve"> et al.</w:t>
      </w:r>
      <w:r w:rsidRPr="00F76080">
        <w:rPr>
          <w:noProof/>
          <w:sz w:val="24"/>
          <w:szCs w:val="24"/>
        </w:rPr>
        <w:t>, 2021)</w:t>
      </w:r>
      <w:r w:rsidRPr="00F76080">
        <w:rPr>
          <w:sz w:val="24"/>
          <w:szCs w:val="24"/>
        </w:rPr>
        <w:fldChar w:fldCharType="end"/>
      </w:r>
    </w:p>
    <w:p w14:paraId="3FEDF467" w14:textId="77777777" w:rsidR="00F14DA0" w:rsidRDefault="00F14DA0" w:rsidP="00F14DA0">
      <w:pPr>
        <w:spacing w:after="0" w:line="240" w:lineRule="auto"/>
        <w:rPr>
          <w:b/>
          <w:bCs/>
          <w:sz w:val="24"/>
          <w:szCs w:val="24"/>
        </w:rPr>
      </w:pPr>
      <w:r w:rsidRPr="00371FBB">
        <w:rPr>
          <w:b/>
          <w:bCs/>
          <w:sz w:val="24"/>
          <w:szCs w:val="24"/>
        </w:rPr>
        <w:t>The main recommendations put forward by the above papers include:</w:t>
      </w:r>
    </w:p>
    <w:p w14:paraId="26C5E10C" w14:textId="77777777" w:rsidR="00F14DA0" w:rsidRPr="00F76080" w:rsidRDefault="00F14DA0" w:rsidP="00F14DA0">
      <w:pPr>
        <w:spacing w:after="0" w:line="240" w:lineRule="auto"/>
        <w:rPr>
          <w:rFonts w:asciiTheme="majorHAnsi" w:hAnsiTheme="majorHAnsi" w:cstheme="majorHAnsi"/>
          <w:b/>
          <w:bCs/>
          <w:color w:val="000000" w:themeColor="text1"/>
          <w:sz w:val="24"/>
          <w:szCs w:val="24"/>
        </w:rPr>
      </w:pPr>
    </w:p>
    <w:p w14:paraId="105743BB" w14:textId="468F635C" w:rsidR="00F14DA0" w:rsidRDefault="00F76080" w:rsidP="00F14DA0">
      <w:pPr>
        <w:pStyle w:val="ListParagraph"/>
        <w:numPr>
          <w:ilvl w:val="0"/>
          <w:numId w:val="27"/>
        </w:numPr>
        <w:rPr>
          <w:b/>
          <w:bCs/>
          <w:sz w:val="24"/>
          <w:szCs w:val="24"/>
        </w:rPr>
      </w:pPr>
      <w:r w:rsidRPr="00F76080">
        <w:rPr>
          <w:b/>
          <w:bCs/>
          <w:sz w:val="24"/>
          <w:szCs w:val="24"/>
        </w:rPr>
        <w:t>Lung ultrasound can be a useful tool for long-term monitoring of COVID-19 lung disease, avoiding repeated exposure to ionizing radiation, and may distinguish between acute and past infections</w:t>
      </w:r>
      <w:r>
        <w:rPr>
          <w:b/>
          <w:bCs/>
          <w:sz w:val="24"/>
          <w:szCs w:val="24"/>
        </w:rPr>
        <w:t>.</w:t>
      </w:r>
    </w:p>
    <w:p w14:paraId="426D1090" w14:textId="77777777" w:rsidR="00F76080" w:rsidRPr="00F76080" w:rsidRDefault="00F76080" w:rsidP="00F14DA0">
      <w:pPr>
        <w:pStyle w:val="ListParagraph"/>
        <w:numPr>
          <w:ilvl w:val="0"/>
          <w:numId w:val="27"/>
        </w:numPr>
        <w:rPr>
          <w:b/>
          <w:bCs/>
          <w:sz w:val="24"/>
          <w:szCs w:val="24"/>
        </w:rPr>
      </w:pPr>
      <w:r w:rsidRPr="00F76080">
        <w:rPr>
          <w:b/>
          <w:bCs/>
          <w:sz w:val="24"/>
          <w:szCs w:val="24"/>
        </w:rPr>
        <w:t>The development of a screening approach based on established risk factors is a priority.</w:t>
      </w:r>
    </w:p>
    <w:p w14:paraId="0523AABA" w14:textId="1C9605E6" w:rsidR="00F76080" w:rsidRPr="00F76080" w:rsidRDefault="00F76080" w:rsidP="00F14DA0">
      <w:pPr>
        <w:pStyle w:val="ListParagraph"/>
        <w:numPr>
          <w:ilvl w:val="0"/>
          <w:numId w:val="27"/>
        </w:numPr>
        <w:rPr>
          <w:b/>
          <w:bCs/>
          <w:sz w:val="24"/>
          <w:szCs w:val="24"/>
        </w:rPr>
      </w:pPr>
      <w:r w:rsidRPr="00F76080">
        <w:rPr>
          <w:b/>
          <w:bCs/>
          <w:sz w:val="24"/>
          <w:szCs w:val="24"/>
        </w:rPr>
        <w:t xml:space="preserve">Learning how to identify patients with RA-associated ILD early and then monitoring their condition to assess progression and measure the potential influence of therapeutic interventions is </w:t>
      </w:r>
      <w:proofErr w:type="gramStart"/>
      <w:r w:rsidRPr="00F76080">
        <w:rPr>
          <w:b/>
          <w:bCs/>
          <w:sz w:val="24"/>
          <w:szCs w:val="24"/>
        </w:rPr>
        <w:t>essential</w:t>
      </w:r>
      <w:proofErr w:type="gramEnd"/>
    </w:p>
    <w:p w14:paraId="7D5109D3" w14:textId="52DC31FC" w:rsidR="00F14DA0" w:rsidRPr="000B6A1A" w:rsidRDefault="00F14DA0" w:rsidP="00F14DA0">
      <w:pPr>
        <w:pStyle w:val="Heading2"/>
      </w:pPr>
      <w:r>
        <w:t>Sexual Health</w:t>
      </w:r>
      <w:r w:rsidRPr="000B6A1A">
        <w:t xml:space="preserve">: </w:t>
      </w:r>
    </w:p>
    <w:p w14:paraId="28F2EDF9" w14:textId="15EACC50" w:rsidR="00F14DA0" w:rsidRDefault="00B95DEA" w:rsidP="00B95DEA">
      <w:pPr>
        <w:pStyle w:val="ListParagraph"/>
        <w:numPr>
          <w:ilvl w:val="0"/>
          <w:numId w:val="26"/>
        </w:numPr>
        <w:rPr>
          <w:sz w:val="24"/>
          <w:szCs w:val="24"/>
        </w:rPr>
      </w:pPr>
      <w:r w:rsidRPr="00B95DEA">
        <w:rPr>
          <w:sz w:val="24"/>
          <w:szCs w:val="24"/>
        </w:rPr>
        <w:t>Although the rate of under 18 conceptions continues to decrease for the Tees area, the rate remains</w:t>
      </w:r>
      <w:r>
        <w:rPr>
          <w:sz w:val="24"/>
          <w:szCs w:val="24"/>
        </w:rPr>
        <w:t xml:space="preserve"> </w:t>
      </w:r>
      <w:r w:rsidRPr="00B95DEA">
        <w:rPr>
          <w:sz w:val="24"/>
          <w:szCs w:val="24"/>
        </w:rPr>
        <w:t xml:space="preserve">significantly higher than the national average, and the reduction </w:t>
      </w:r>
      <w:proofErr w:type="gramStart"/>
      <w:r w:rsidRPr="00B95DEA">
        <w:rPr>
          <w:sz w:val="24"/>
          <w:szCs w:val="24"/>
        </w:rPr>
        <w:lastRenderedPageBreak/>
        <w:t>not continuing</w:t>
      </w:r>
      <w:proofErr w:type="gramEnd"/>
      <w:r w:rsidRPr="00B95DEA">
        <w:rPr>
          <w:sz w:val="24"/>
          <w:szCs w:val="24"/>
        </w:rPr>
        <w:t xml:space="preserve"> at the same pace as</w:t>
      </w:r>
      <w:r>
        <w:rPr>
          <w:sz w:val="24"/>
          <w:szCs w:val="24"/>
        </w:rPr>
        <w:t xml:space="preserve"> </w:t>
      </w:r>
      <w:r w:rsidRPr="00B95DEA">
        <w:rPr>
          <w:sz w:val="24"/>
          <w:szCs w:val="24"/>
        </w:rPr>
        <w:t>the national average. Abortions rates for the under 18 age group highlight some significan</w:t>
      </w:r>
      <w:r>
        <w:rPr>
          <w:sz w:val="24"/>
          <w:szCs w:val="24"/>
        </w:rPr>
        <w:t xml:space="preserve">t </w:t>
      </w:r>
      <w:r w:rsidRPr="00B95DEA">
        <w:rPr>
          <w:sz w:val="24"/>
          <w:szCs w:val="24"/>
        </w:rPr>
        <w:t>differences between areas of Tees, with Hartlepool, Middlesbrough and Redcar and Cleveland has</w:t>
      </w:r>
      <w:r>
        <w:rPr>
          <w:sz w:val="24"/>
          <w:szCs w:val="24"/>
        </w:rPr>
        <w:t xml:space="preserve"> </w:t>
      </w:r>
      <w:r w:rsidRPr="00B95DEA">
        <w:rPr>
          <w:sz w:val="24"/>
          <w:szCs w:val="24"/>
        </w:rPr>
        <w:t>been lower than the national average, while in Stockton the proportion of teenage pregnancy leading</w:t>
      </w:r>
      <w:r>
        <w:rPr>
          <w:sz w:val="24"/>
          <w:szCs w:val="24"/>
        </w:rPr>
        <w:t xml:space="preserve"> </w:t>
      </w:r>
      <w:r w:rsidRPr="00B95DEA">
        <w:rPr>
          <w:sz w:val="24"/>
          <w:szCs w:val="24"/>
        </w:rPr>
        <w:t>to abortion is higher than the national average</w:t>
      </w:r>
      <w:r>
        <w:rPr>
          <w:sz w:val="24"/>
          <w:szCs w:val="24"/>
        </w:rPr>
        <w:t xml:space="preserve"> </w:t>
      </w:r>
      <w:r>
        <w:rPr>
          <w:sz w:val="24"/>
          <w:szCs w:val="24"/>
        </w:rPr>
        <w:fldChar w:fldCharType="begin"/>
      </w:r>
      <w:r w:rsidR="00181EDA">
        <w:rPr>
          <w:sz w:val="24"/>
          <w:szCs w:val="24"/>
        </w:rPr>
        <w:instrText xml:space="preserve"> ADDIN EN.CITE &lt;EndNote&gt;&lt;Cite&gt;&lt;Author&gt;Tees Sexual Health Commissioners&lt;/Author&gt;&lt;Year&gt;2020&lt;/Year&gt;&lt;RecNum&gt;1455&lt;/RecNum&gt;&lt;DisplayText&gt;(Tees Sexual Health Commissioners, 2020)&lt;/DisplayText&gt;&lt;record&gt;&lt;rec-number&gt;1455&lt;/rec-number&gt;&lt;foreign-keys&gt;&lt;key app="EN" db-id="xs9axatw70vf2ze9vdmxt0skppvsfd0tst5z" timestamp="1694435041" guid="57028227-f6f9-4d8c-b84b-84866380b3e6"&gt;1455&lt;/key&gt;&lt;/foreign-keys&gt;&lt;ref-type name="Web Page"&gt;12&lt;/ref-type&gt;&lt;contributors&gt;&lt;authors&gt;&lt;author&gt;Tees Sexual Health Commissioners,&lt;/author&gt;&lt;/authors&gt;&lt;/contributors&gt;&lt;titles&gt;&lt;title&gt;Sexual Health Needs Assessment Teesside&lt;/title&gt;&lt;/titles&gt;&lt;dates&gt;&lt;year&gt;2020&lt;/year&gt;&lt;/dates&gt;&lt;urls&gt;&lt;related-urls&gt;&lt;url&gt;https://www.redcar-cleveland.gov.uk/sites/default/files/2022-05/Sexual%20Health%20JSNA.pdf&lt;/url&gt;&lt;/related-urls&gt;&lt;/urls&gt;&lt;/record&gt;&lt;/Cite&gt;&lt;Cite&gt;&lt;Author&gt;Tees Sexual Health Commissioners&lt;/Author&gt;&lt;Year&gt;2020&lt;/Year&gt;&lt;RecNum&gt;1455&lt;/RecNum&gt;&lt;record&gt;&lt;rec-number&gt;1455&lt;/rec-number&gt;&lt;foreign-keys&gt;&lt;key app="EN" db-id="xs9axatw70vf2ze9vdmxt0skppvsfd0tst5z" timestamp="1694435041" guid="57028227-f6f9-4d8c-b84b-84866380b3e6"&gt;1455&lt;/key&gt;&lt;/foreign-keys&gt;&lt;ref-type name="Web Page"&gt;12&lt;/ref-type&gt;&lt;contributors&gt;&lt;authors&gt;&lt;author&gt;Tees Sexual Health Commissioners,&lt;/author&gt;&lt;/authors&gt;&lt;/contributors&gt;&lt;titles&gt;&lt;title&gt;Sexual Health Needs Assessment Teesside&lt;/title&gt;&lt;/titles&gt;&lt;dates&gt;&lt;year&gt;2020&lt;/year&gt;&lt;/dates&gt;&lt;urls&gt;&lt;related-urls&gt;&lt;url&gt;https://www.redcar-cleveland.gov.uk/sites/default/files/2022-05/Sexual%20Health%20JSNA.pdf&lt;/url&gt;&lt;/related-urls&gt;&lt;/urls&gt;&lt;/record&gt;&lt;/Cite&gt;&lt;/EndNote&gt;</w:instrText>
      </w:r>
      <w:r>
        <w:rPr>
          <w:sz w:val="24"/>
          <w:szCs w:val="24"/>
        </w:rPr>
        <w:fldChar w:fldCharType="separate"/>
      </w:r>
      <w:r>
        <w:rPr>
          <w:noProof/>
          <w:sz w:val="24"/>
          <w:szCs w:val="24"/>
        </w:rPr>
        <w:t>(Tees Sexual Health Commissioners, 2020)</w:t>
      </w:r>
      <w:r>
        <w:rPr>
          <w:sz w:val="24"/>
          <w:szCs w:val="24"/>
        </w:rPr>
        <w:fldChar w:fldCharType="end"/>
      </w:r>
    </w:p>
    <w:p w14:paraId="5FC91FE5" w14:textId="6DD7DC9A" w:rsidR="00181EDA" w:rsidRPr="00181EDA" w:rsidRDefault="00181EDA" w:rsidP="00B95DEA">
      <w:pPr>
        <w:pStyle w:val="ListParagraph"/>
        <w:numPr>
          <w:ilvl w:val="0"/>
          <w:numId w:val="26"/>
        </w:numPr>
        <w:rPr>
          <w:sz w:val="24"/>
          <w:szCs w:val="24"/>
        </w:rPr>
      </w:pPr>
      <w:r>
        <w:t xml:space="preserve">The quality of reproductive health education has long-term health consequences, for both individuals and future generations. Preconception health issues in adults can significantly impact the health of their children </w:t>
      </w:r>
      <w:r>
        <w:fldChar w:fldCharType="begin"/>
      </w:r>
      <w:r w:rsidR="0060070A">
        <w:instrText xml:space="preserve"> ADDIN EN.CITE &lt;EndNote&gt;&lt;Cite&gt;&lt;Author&gt;Stephenson&lt;/Author&gt;&lt;Year&gt;2019&lt;/Year&gt;&lt;RecNum&gt;1456&lt;/RecNum&gt;&lt;DisplayText&gt;(Stephenson&lt;style face="italic"&gt; et al.&lt;/style&gt;, 2019)&lt;/DisplayText&gt;&lt;record&gt;&lt;rec-number&gt;1456&lt;/rec-number&gt;&lt;foreign-keys&gt;&lt;key app="EN" db-id="xs9axatw70vf2ze9vdmxt0skppvsfd0tst5z" timestamp="1694435330" guid="29e0582d-e89f-4e65-934a-82e47a37637f"&gt;1456&lt;/key&gt;&lt;/foreign-keys&gt;&lt;ref-type name="Journal Article"&gt;17&lt;/ref-type&gt;&lt;contributors&gt;&lt;authors&gt;&lt;author&gt;Stephenson, Judith&lt;/author&gt;&lt;author&gt;Vogel, Christina&lt;/author&gt;&lt;author&gt;Hall, Jennifer&lt;/author&gt;&lt;author&gt;Hutchinson, Jayne&lt;/author&gt;&lt;author&gt;Mann, Sue&lt;/author&gt;&lt;author&gt;Duncan, Helen&lt;/author&gt;&lt;author&gt;Woods-Townsend, Kathryn&lt;/author&gt;&lt;author&gt;de Lusignan, Simon&lt;/author&gt;&lt;author&gt;Poston, Lucilla&lt;/author&gt;&lt;author&gt;Cade, Janet&lt;/author&gt;&lt;/authors&gt;&lt;/contributors&gt;&lt;titles&gt;&lt;title&gt;Preconception health in England: a proposal for annual reporting with core metrics&lt;/title&gt;&lt;secondary-title&gt;The Lancet&lt;/secondary-title&gt;&lt;/titles&gt;&lt;periodical&gt;&lt;full-title&gt;The Lancet&lt;/full-title&gt;&lt;/periodical&gt;&lt;pages&gt;2262-2271&lt;/pages&gt;&lt;volume&gt;393&lt;/volume&gt;&lt;number&gt;10187&lt;/number&gt;&lt;dates&gt;&lt;year&gt;2019&lt;/year&gt;&lt;/dates&gt;&lt;isbn&gt;0140-6736&lt;/isbn&gt;&lt;urls&gt;&lt;/urls&gt;&lt;/record&gt;&lt;/Cite&gt;&lt;/EndNote&gt;</w:instrText>
      </w:r>
      <w:r>
        <w:fldChar w:fldCharType="separate"/>
      </w:r>
      <w:r>
        <w:rPr>
          <w:noProof/>
        </w:rPr>
        <w:t>(Stephenson</w:t>
      </w:r>
      <w:r w:rsidRPr="00181EDA">
        <w:rPr>
          <w:i/>
          <w:noProof/>
        </w:rPr>
        <w:t xml:space="preserve"> et al.</w:t>
      </w:r>
      <w:r>
        <w:rPr>
          <w:noProof/>
        </w:rPr>
        <w:t>, 2019)</w:t>
      </w:r>
      <w:r>
        <w:fldChar w:fldCharType="end"/>
      </w:r>
    </w:p>
    <w:p w14:paraId="79D484C6" w14:textId="3B92FED2" w:rsidR="00181EDA" w:rsidRPr="00B95DEA" w:rsidRDefault="00181EDA" w:rsidP="00B95DEA">
      <w:pPr>
        <w:pStyle w:val="ListParagraph"/>
        <w:numPr>
          <w:ilvl w:val="0"/>
          <w:numId w:val="26"/>
        </w:numPr>
        <w:rPr>
          <w:sz w:val="24"/>
          <w:szCs w:val="24"/>
        </w:rPr>
      </w:pPr>
      <w:r>
        <w:t>Significant variation and gaps in the current UK science and biology curricula for 14–</w:t>
      </w:r>
      <w:proofErr w:type="gramStart"/>
      <w:r>
        <w:t>18 year-olds</w:t>
      </w:r>
      <w:proofErr w:type="gramEnd"/>
      <w:r>
        <w:t xml:space="preserve"> as they relate to sexual and reproductive health. At the same time, substantial numbers of young people are leaving school with inadequate understanding of concepts that have important implications for their sexual and reproductive health </w:t>
      </w:r>
      <w:r w:rsidR="00BE3EEE">
        <w:fldChar w:fldCharType="begin"/>
      </w:r>
      <w:r w:rsidR="0060070A">
        <w:instrText xml:space="preserve"> ADDIN EN.CITE &lt;EndNote&gt;&lt;Cite&gt;&lt;Author&gt;Maslowski&lt;/Author&gt;&lt;Year&gt;2023&lt;/Year&gt;&lt;RecNum&gt;1457&lt;/RecNum&gt;&lt;DisplayText&gt;(Maslowski&lt;style face="italic"&gt; et al.&lt;/style&gt;, 2023)&lt;/DisplayText&gt;&lt;record&gt;&lt;rec-number&gt;1457&lt;/rec-number&gt;&lt;foreign-keys&gt;&lt;key app="EN" db-id="xs9axatw70vf2ze9vdmxt0skppvsfd0tst5z" timestamp="1694435473" guid="57af73b3-25da-42c0-82b8-b7cb812164c1"&gt;1457&lt;/key&gt;&lt;/foreign-keys&gt;&lt;ref-type name="Journal Article"&gt;17&lt;/ref-type&gt;&lt;contributors&gt;&lt;authors&gt;&lt;author&gt;Maslowski, Katherine&lt;/author&gt;&lt;author&gt;Reiss, Michael J&lt;/author&gt;&lt;author&gt;Biswakarma, Rina&lt;/author&gt;&lt;author&gt;Harper, Joyce&lt;/author&gt;&lt;/authors&gt;&lt;/contributors&gt;&lt;titles&gt;&lt;title&gt;Reproductive health education in the schools of the four UK nations: is it falling through the gap?&lt;/title&gt;&lt;secondary-title&gt;Human Fertility&lt;/secondary-title&gt;&lt;/titles&gt;&lt;periodical&gt;&lt;full-title&gt;Human Fertility&lt;/full-title&gt;&lt;/periodical&gt;&lt;pages&gt;1-13&lt;/pages&gt;&lt;dates&gt;&lt;year&gt;2023&lt;/year&gt;&lt;/dates&gt;&lt;isbn&gt;1464-7273&lt;/isbn&gt;&lt;urls&gt;&lt;/urls&gt;&lt;/record&gt;&lt;/Cite&gt;&lt;/EndNote&gt;</w:instrText>
      </w:r>
      <w:r w:rsidR="00BE3EEE">
        <w:fldChar w:fldCharType="separate"/>
      </w:r>
      <w:r w:rsidR="00BE3EEE">
        <w:rPr>
          <w:noProof/>
        </w:rPr>
        <w:t>(Maslowski</w:t>
      </w:r>
      <w:r w:rsidR="00BE3EEE" w:rsidRPr="00BE3EEE">
        <w:rPr>
          <w:i/>
          <w:noProof/>
        </w:rPr>
        <w:t xml:space="preserve"> et al.</w:t>
      </w:r>
      <w:r w:rsidR="00BE3EEE">
        <w:rPr>
          <w:noProof/>
        </w:rPr>
        <w:t>, 2023)</w:t>
      </w:r>
      <w:r w:rsidR="00BE3EEE">
        <w:fldChar w:fldCharType="end"/>
      </w:r>
    </w:p>
    <w:p w14:paraId="0AA028ED" w14:textId="77777777" w:rsidR="00F14DA0" w:rsidRDefault="00F14DA0" w:rsidP="00F14DA0">
      <w:pPr>
        <w:spacing w:after="0" w:line="240" w:lineRule="auto"/>
        <w:rPr>
          <w:b/>
          <w:bCs/>
          <w:sz w:val="24"/>
          <w:szCs w:val="24"/>
        </w:rPr>
      </w:pPr>
      <w:r w:rsidRPr="00371FBB">
        <w:rPr>
          <w:b/>
          <w:bCs/>
          <w:sz w:val="24"/>
          <w:szCs w:val="24"/>
        </w:rPr>
        <w:t>The main recommendations put forward by the above papers include:</w:t>
      </w:r>
    </w:p>
    <w:p w14:paraId="3D4EB9CE" w14:textId="77777777" w:rsidR="00F14DA0" w:rsidRPr="00371FBB" w:rsidRDefault="00F14DA0" w:rsidP="00F14DA0">
      <w:pPr>
        <w:spacing w:after="0" w:line="240" w:lineRule="auto"/>
        <w:rPr>
          <w:rFonts w:asciiTheme="majorHAnsi" w:hAnsiTheme="majorHAnsi" w:cstheme="majorHAnsi"/>
          <w:color w:val="000000" w:themeColor="text1"/>
        </w:rPr>
      </w:pPr>
    </w:p>
    <w:p w14:paraId="682B43E3" w14:textId="0FB6AC08" w:rsidR="00F76080" w:rsidRPr="00181EDA" w:rsidRDefault="00F76080" w:rsidP="00F76080">
      <w:pPr>
        <w:pStyle w:val="ListParagraph"/>
        <w:numPr>
          <w:ilvl w:val="0"/>
          <w:numId w:val="46"/>
        </w:numPr>
        <w:spacing w:after="0" w:line="240" w:lineRule="auto"/>
        <w:rPr>
          <w:rFonts w:cstheme="minorHAnsi"/>
          <w:b/>
          <w:bCs/>
          <w:color w:val="000000" w:themeColor="text1"/>
          <w:sz w:val="24"/>
          <w:szCs w:val="24"/>
        </w:rPr>
      </w:pPr>
      <w:r w:rsidRPr="00181EDA">
        <w:rPr>
          <w:rFonts w:cstheme="minorHAnsi"/>
          <w:b/>
          <w:bCs/>
          <w:color w:val="000000" w:themeColor="text1"/>
          <w:sz w:val="24"/>
          <w:szCs w:val="24"/>
        </w:rPr>
        <w:t xml:space="preserve">A commitment to work towards a specialist integrated sexual health service – to provide users with open access to confidential, </w:t>
      </w:r>
      <w:proofErr w:type="spellStart"/>
      <w:r w:rsidRPr="00181EDA">
        <w:rPr>
          <w:rFonts w:cstheme="minorHAnsi"/>
          <w:b/>
          <w:bCs/>
          <w:color w:val="000000" w:themeColor="text1"/>
          <w:sz w:val="24"/>
          <w:szCs w:val="24"/>
        </w:rPr>
        <w:t>non-judgemental</w:t>
      </w:r>
      <w:proofErr w:type="spellEnd"/>
      <w:r w:rsidRPr="00181EDA">
        <w:rPr>
          <w:rFonts w:cstheme="minorHAnsi"/>
          <w:b/>
          <w:bCs/>
          <w:color w:val="000000" w:themeColor="text1"/>
          <w:sz w:val="24"/>
          <w:szCs w:val="24"/>
        </w:rPr>
        <w:t xml:space="preserve"> services including sexual transmitted infections and blood borne viruses testing, treatment and management; HIV prevention (including pre-exposure prophylaxis and post-exposure); the full range of contraceptive provision; health promotion and prevention (including relevant vaccination) – this should be supported by remote and online provision.  </w:t>
      </w:r>
    </w:p>
    <w:p w14:paraId="5ED85A9E" w14:textId="77777777" w:rsidR="00F76080" w:rsidRPr="00181EDA" w:rsidRDefault="00F76080" w:rsidP="00F76080">
      <w:pPr>
        <w:pStyle w:val="ListParagraph"/>
        <w:numPr>
          <w:ilvl w:val="0"/>
          <w:numId w:val="46"/>
        </w:numPr>
        <w:spacing w:after="0" w:line="240" w:lineRule="auto"/>
        <w:rPr>
          <w:rFonts w:cstheme="minorHAnsi"/>
          <w:b/>
          <w:bCs/>
          <w:sz w:val="24"/>
          <w:szCs w:val="24"/>
        </w:rPr>
      </w:pPr>
      <w:r w:rsidRPr="00181EDA">
        <w:rPr>
          <w:rFonts w:cstheme="minorHAnsi"/>
          <w:b/>
          <w:bCs/>
          <w:sz w:val="24"/>
          <w:szCs w:val="24"/>
        </w:rPr>
        <w:t xml:space="preserve">Promoting good sexual health through primary prevention activities including condom use, vaccination, the sexual health aspects of psychosexual counselling, HIV </w:t>
      </w:r>
      <w:proofErr w:type="spellStart"/>
      <w:r w:rsidRPr="00181EDA">
        <w:rPr>
          <w:rFonts w:cstheme="minorHAnsi"/>
          <w:b/>
          <w:bCs/>
          <w:sz w:val="24"/>
          <w:szCs w:val="24"/>
        </w:rPr>
        <w:t>PrEP</w:t>
      </w:r>
      <w:proofErr w:type="spellEnd"/>
      <w:r w:rsidRPr="00181EDA">
        <w:rPr>
          <w:rFonts w:cstheme="minorHAnsi"/>
          <w:b/>
          <w:bCs/>
          <w:sz w:val="24"/>
          <w:szCs w:val="24"/>
        </w:rPr>
        <w:t xml:space="preserve">, behaviour change and those which aim to reduce the stigma associated with STIs, HIV and unplanned </w:t>
      </w:r>
      <w:proofErr w:type="gramStart"/>
      <w:r w:rsidRPr="00181EDA">
        <w:rPr>
          <w:rFonts w:cstheme="minorHAnsi"/>
          <w:b/>
          <w:bCs/>
          <w:sz w:val="24"/>
          <w:szCs w:val="24"/>
        </w:rPr>
        <w:t>pregnancy</w:t>
      </w:r>
      <w:proofErr w:type="gramEnd"/>
    </w:p>
    <w:p w14:paraId="2105F9E8" w14:textId="56051F04" w:rsidR="00F14DA0" w:rsidRPr="00181EDA" w:rsidRDefault="00F76080" w:rsidP="00F76080">
      <w:pPr>
        <w:pStyle w:val="ListParagraph"/>
        <w:numPr>
          <w:ilvl w:val="0"/>
          <w:numId w:val="46"/>
        </w:numPr>
        <w:spacing w:after="0" w:line="240" w:lineRule="auto"/>
        <w:rPr>
          <w:rFonts w:cstheme="minorHAnsi"/>
          <w:b/>
          <w:bCs/>
          <w:sz w:val="24"/>
          <w:szCs w:val="24"/>
        </w:rPr>
      </w:pPr>
      <w:r w:rsidRPr="00181EDA">
        <w:rPr>
          <w:rFonts w:cstheme="minorHAnsi"/>
          <w:b/>
          <w:bCs/>
          <w:sz w:val="24"/>
          <w:szCs w:val="24"/>
        </w:rPr>
        <w:t>Providing rapid and easy access to open access STI and BBV testing, treatment and management services through a variety of mechanisms which should include remote and online services; providing rapid and easy access to open access reproductive health services including the full range of contraceptive services; supported referral to NHS funded abortion services (based on up-to-date knowledge of local contractual arrangements for abortion services including late gestations and those with comorbidities); and support in planning for a healthy pregnancy; through a variety of mechanisms which should include remote and online services</w:t>
      </w:r>
    </w:p>
    <w:p w14:paraId="614E48E8" w14:textId="77777777" w:rsidR="00F76080" w:rsidRPr="00F76080" w:rsidRDefault="00F76080" w:rsidP="00F76080">
      <w:pPr>
        <w:pStyle w:val="ListParagraph"/>
        <w:spacing w:after="0" w:line="240" w:lineRule="auto"/>
        <w:rPr>
          <w:rFonts w:asciiTheme="majorHAnsi" w:hAnsiTheme="majorHAnsi" w:cstheme="majorHAnsi"/>
          <w:b/>
          <w:bCs/>
        </w:rPr>
      </w:pPr>
    </w:p>
    <w:p w14:paraId="6476685C" w14:textId="42C8DB76" w:rsidR="00F14DA0" w:rsidRPr="000B6A1A" w:rsidRDefault="00F14DA0" w:rsidP="00F14DA0">
      <w:pPr>
        <w:pStyle w:val="Heading2"/>
      </w:pPr>
      <w:r>
        <w:t>Screening – Diabetes/AAA</w:t>
      </w:r>
      <w:r w:rsidRPr="000B6A1A">
        <w:t xml:space="preserve">: </w:t>
      </w:r>
    </w:p>
    <w:p w14:paraId="2D8E8D21" w14:textId="50590FA4" w:rsidR="00F14DA0" w:rsidRPr="0060070A" w:rsidRDefault="0060070A" w:rsidP="00F14DA0">
      <w:pPr>
        <w:pStyle w:val="ListParagraph"/>
        <w:numPr>
          <w:ilvl w:val="0"/>
          <w:numId w:val="26"/>
        </w:numPr>
        <w:rPr>
          <w:b/>
          <w:bCs/>
          <w:sz w:val="24"/>
          <w:szCs w:val="24"/>
        </w:rPr>
      </w:pPr>
      <w:r w:rsidRPr="0060070A">
        <w:rPr>
          <w:sz w:val="24"/>
          <w:szCs w:val="24"/>
        </w:rPr>
        <w:t>Type 1 diabetes (T1D) is the most common form of diabetes in children, accounting for 96% of cases, with 29 000 children affected in the UK. Studies have recently identified immunotherapies that safely delay the development of T1D for at least 3 years, and further therapies are in development.</w:t>
      </w:r>
    </w:p>
    <w:p w14:paraId="469AD48C" w14:textId="36F88F73" w:rsidR="0060070A" w:rsidRPr="0060070A" w:rsidRDefault="0060070A" w:rsidP="00F14DA0">
      <w:pPr>
        <w:pStyle w:val="ListParagraph"/>
        <w:numPr>
          <w:ilvl w:val="0"/>
          <w:numId w:val="26"/>
        </w:numPr>
        <w:rPr>
          <w:b/>
          <w:bCs/>
          <w:sz w:val="24"/>
          <w:szCs w:val="24"/>
        </w:rPr>
      </w:pPr>
      <w:r w:rsidRPr="0060070A">
        <w:rPr>
          <w:sz w:val="24"/>
          <w:szCs w:val="24"/>
        </w:rPr>
        <w:t xml:space="preserve">General population screening programs in other countries can now accurately identify children with presymptomatic T1D who can be entered into prevention studies. The UK does not have such a system in place </w:t>
      </w:r>
      <w:r w:rsidRPr="0060070A">
        <w:rPr>
          <w:sz w:val="24"/>
          <w:szCs w:val="24"/>
        </w:rPr>
        <w:fldChar w:fldCharType="begin"/>
      </w:r>
      <w:r w:rsidR="0046172D">
        <w:rPr>
          <w:sz w:val="24"/>
          <w:szCs w:val="24"/>
        </w:rPr>
        <w:instrText xml:space="preserve"> ADDIN EN.CITE &lt;EndNote&gt;&lt;Cite&gt;&lt;Author&gt;Quinn&lt;/Author&gt;&lt;Year&gt;2022&lt;/Year&gt;&lt;RecNum&gt;1458&lt;/RecNum&gt;&lt;DisplayText&gt;(Quinn&lt;style face="italic"&gt; et al.&lt;/style&gt;, 2022)&lt;/DisplayText&gt;&lt;record&gt;&lt;rec-number&gt;1458&lt;/rec-number&gt;&lt;foreign-keys&gt;&lt;key app="EN" db-id="xs9axatw70vf2ze9vdmxt0skppvsfd0tst5z" timestamp="1694436210" guid="6e09cbe0-0beb-417f-ac4c-f65f95361c1f"&gt;1458&lt;/key&gt;&lt;/foreign-keys&gt;&lt;ref-type name="Journal Article"&gt;17&lt;/ref-type&gt;&lt;contributors&gt;&lt;authors&gt;&lt;author&gt;Quinn, Lauren Marie&lt;/author&gt;&lt;author&gt;Shukla, David&lt;/author&gt;&lt;author&gt;Greenfield, Sheila Margaret&lt;/author&gt;&lt;author&gt;Barrett, Tim&lt;/author&gt;&lt;author&gt;Garstang, Joanna&lt;/author&gt;&lt;author&gt;Boardman, Felicity&lt;/author&gt;&lt;author&gt;Litchfield, Ian&lt;/author&gt;&lt;author&gt;Dayan, Colin&lt;/author&gt;&lt;author&gt;Gardner, Christine&lt;/author&gt;&lt;author&gt;Connop, Clair&lt;/author&gt;&lt;/authors&gt;&lt;/contributors&gt;&lt;titles&gt;&lt;title&gt;EarLy Surveillance for Autoimmune diabetes: protocol for a qualitative study of general population and stakeholder perspectives on screening for type 1 diabetes in the UK (ELSA 1)&lt;/title&gt;&lt;secondary-title&gt;BMJ Open Diabetes Research and Care&lt;/secondary-title&gt;&lt;/titles&gt;&lt;periodical&gt;&lt;full-title&gt;BMJ Open Diabetes Research and Care&lt;/full-title&gt;&lt;/periodical&gt;&lt;pages&gt;e002750&lt;/pages&gt;&lt;volume&gt;10&lt;/volume&gt;&lt;number&gt;2&lt;/number&gt;&lt;dates&gt;&lt;year&gt;2022&lt;/year&gt;&lt;/dates&gt;&lt;isbn&gt;2052-4897&lt;/isbn&gt;&lt;urls&gt;&lt;/urls&gt;&lt;/record&gt;&lt;/Cite&gt;&lt;/EndNote&gt;</w:instrText>
      </w:r>
      <w:r w:rsidRPr="0060070A">
        <w:rPr>
          <w:sz w:val="24"/>
          <w:szCs w:val="24"/>
        </w:rPr>
        <w:fldChar w:fldCharType="separate"/>
      </w:r>
      <w:r w:rsidRPr="0060070A">
        <w:rPr>
          <w:noProof/>
          <w:sz w:val="24"/>
          <w:szCs w:val="24"/>
        </w:rPr>
        <w:t>(Quinn</w:t>
      </w:r>
      <w:r w:rsidRPr="0060070A">
        <w:rPr>
          <w:i/>
          <w:noProof/>
          <w:sz w:val="24"/>
          <w:szCs w:val="24"/>
        </w:rPr>
        <w:t xml:space="preserve"> et al.</w:t>
      </w:r>
      <w:r w:rsidRPr="0060070A">
        <w:rPr>
          <w:noProof/>
          <w:sz w:val="24"/>
          <w:szCs w:val="24"/>
        </w:rPr>
        <w:t>, 2022)</w:t>
      </w:r>
      <w:r w:rsidRPr="0060070A">
        <w:rPr>
          <w:sz w:val="24"/>
          <w:szCs w:val="24"/>
        </w:rPr>
        <w:fldChar w:fldCharType="end"/>
      </w:r>
    </w:p>
    <w:p w14:paraId="027AB2E1" w14:textId="4DBD7FA6" w:rsidR="0060070A" w:rsidRPr="0060070A" w:rsidRDefault="0060070A" w:rsidP="00F14DA0">
      <w:pPr>
        <w:pStyle w:val="ListParagraph"/>
        <w:numPr>
          <w:ilvl w:val="0"/>
          <w:numId w:val="26"/>
        </w:numPr>
        <w:rPr>
          <w:b/>
          <w:bCs/>
          <w:sz w:val="24"/>
          <w:szCs w:val="24"/>
        </w:rPr>
      </w:pPr>
      <w:r w:rsidRPr="0060070A">
        <w:rPr>
          <w:sz w:val="24"/>
          <w:szCs w:val="24"/>
        </w:rPr>
        <w:lastRenderedPageBreak/>
        <w:t xml:space="preserve">Diabetic retinopathy screening (DRS) attendance in young adults is consistently below recommended levels Nation-wide </w:t>
      </w:r>
      <w:r w:rsidRPr="0060070A">
        <w:rPr>
          <w:sz w:val="24"/>
          <w:szCs w:val="24"/>
        </w:rPr>
        <w:fldChar w:fldCharType="begin"/>
      </w:r>
      <w:r w:rsidR="0046172D">
        <w:rPr>
          <w:sz w:val="24"/>
          <w:szCs w:val="24"/>
        </w:rPr>
        <w:instrText xml:space="preserve"> ADDIN EN.CITE &lt;EndNote&gt;&lt;Cite&gt;&lt;Author&gt;Prothero&lt;/Author&gt;&lt;Year&gt;2021&lt;/Year&gt;&lt;RecNum&gt;1459&lt;/RecNum&gt;&lt;DisplayText&gt;(Prothero&lt;style face="italic"&gt; et al.&lt;/style&gt;, 2021)&lt;/DisplayText&gt;&lt;record&gt;&lt;rec-number&gt;1459&lt;/rec-number&gt;&lt;foreign-keys&gt;&lt;key app="EN" db-id="xs9axatw70vf2ze9vdmxt0skppvsfd0tst5z" timestamp="1694436304" guid="af5cee9b-5917-4ee4-8626-05af93955f10"&gt;1459&lt;/key&gt;&lt;/foreign-keys&gt;&lt;ref-type name="Journal Article"&gt;17&lt;/ref-type&gt;&lt;contributors&gt;&lt;authors&gt;&lt;author&gt;Prothero, Louise&lt;/author&gt;&lt;author&gt;Lorencatto, Fabianna&lt;/author&gt;&lt;author&gt;Cartwright, Martin&lt;/author&gt;&lt;author&gt;Burr, Jennifer M&lt;/author&gt;&lt;author&gt;Gardner, Philip&lt;/author&gt;&lt;author&gt;Anderson, John&lt;/author&gt;&lt;author&gt;Presseau, Justin&lt;/author&gt;&lt;author&gt;Ivers, Noah&lt;/author&gt;&lt;author&gt;Grimshaw, Jeremy M&lt;/author&gt;&lt;author&gt;Lawrenson, John G&lt;/author&gt;&lt;/authors&gt;&lt;/contributors&gt;&lt;titles&gt;&lt;title&gt;Perceived barriers and enablers to the provision of diabetic retinopathy screening for young adults: a cross-sectional survey of healthcare professionals working in the UK National Diabetic Eye Screening Programme&lt;/title&gt;&lt;secondary-title&gt;BMJ Open Diabetes Research and Care&lt;/secondary-title&gt;&lt;/titles&gt;&lt;periodical&gt;&lt;full-title&gt;BMJ Open Diabetes Research and Care&lt;/full-title&gt;&lt;/periodical&gt;&lt;pages&gt;e002436&lt;/pages&gt;&lt;volume&gt;9&lt;/volume&gt;&lt;number&gt;2&lt;/number&gt;&lt;dates&gt;&lt;year&gt;2021&lt;/year&gt;&lt;/dates&gt;&lt;isbn&gt;2052-4897&lt;/isbn&gt;&lt;urls&gt;&lt;/urls&gt;&lt;/record&gt;&lt;/Cite&gt;&lt;/EndNote&gt;</w:instrText>
      </w:r>
      <w:r w:rsidRPr="0060070A">
        <w:rPr>
          <w:sz w:val="24"/>
          <w:szCs w:val="24"/>
        </w:rPr>
        <w:fldChar w:fldCharType="separate"/>
      </w:r>
      <w:r w:rsidRPr="0060070A">
        <w:rPr>
          <w:noProof/>
          <w:sz w:val="24"/>
          <w:szCs w:val="24"/>
        </w:rPr>
        <w:t>(Prothero</w:t>
      </w:r>
      <w:r w:rsidRPr="0060070A">
        <w:rPr>
          <w:i/>
          <w:noProof/>
          <w:sz w:val="24"/>
          <w:szCs w:val="24"/>
        </w:rPr>
        <w:t xml:space="preserve"> et al.</w:t>
      </w:r>
      <w:r w:rsidRPr="0060070A">
        <w:rPr>
          <w:noProof/>
          <w:sz w:val="24"/>
          <w:szCs w:val="24"/>
        </w:rPr>
        <w:t>, 2021)</w:t>
      </w:r>
      <w:r w:rsidRPr="0060070A">
        <w:rPr>
          <w:sz w:val="24"/>
          <w:szCs w:val="24"/>
        </w:rPr>
        <w:fldChar w:fldCharType="end"/>
      </w:r>
    </w:p>
    <w:p w14:paraId="7C7D28AA" w14:textId="52311C28" w:rsidR="0060070A" w:rsidRPr="0060070A" w:rsidRDefault="0060070A" w:rsidP="00F14DA0">
      <w:pPr>
        <w:pStyle w:val="ListParagraph"/>
        <w:numPr>
          <w:ilvl w:val="0"/>
          <w:numId w:val="26"/>
        </w:numPr>
        <w:rPr>
          <w:b/>
          <w:bCs/>
          <w:sz w:val="24"/>
          <w:szCs w:val="24"/>
        </w:rPr>
      </w:pPr>
      <w:r w:rsidRPr="0060070A">
        <w:rPr>
          <w:sz w:val="24"/>
          <w:szCs w:val="24"/>
        </w:rPr>
        <w:t>Compared with current practice, alternative surveillance strategies resulted in up to a 4% reduction in the number of elective AAA repairs but with an increase of up to 1.6% in the number of AAA ruptures and AAA-related deaths</w:t>
      </w:r>
      <w:r>
        <w:rPr>
          <w:sz w:val="24"/>
          <w:szCs w:val="24"/>
        </w:rPr>
        <w:t xml:space="preserve"> </w:t>
      </w:r>
      <w:r>
        <w:rPr>
          <w:sz w:val="24"/>
          <w:szCs w:val="24"/>
        </w:rPr>
        <w:fldChar w:fldCharType="begin"/>
      </w:r>
      <w:r w:rsidR="0046172D">
        <w:rPr>
          <w:sz w:val="24"/>
          <w:szCs w:val="24"/>
        </w:rPr>
        <w:instrText xml:space="preserve"> ADDIN EN.CITE &lt;EndNote&gt;&lt;Cite&gt;&lt;Author&gt;Sweeting&lt;/Author&gt;&lt;Year&gt;2021&lt;/Year&gt;&lt;RecNum&gt;1461&lt;/RecNum&gt;&lt;DisplayText&gt;(Sweeting&lt;style face="italic"&gt; et al.&lt;/style&gt;, 2021)&lt;/DisplayText&gt;&lt;record&gt;&lt;rec-number&gt;1461&lt;/rec-number&gt;&lt;foreign-keys&gt;&lt;key app="EN" db-id="xs9axatw70vf2ze9vdmxt0skppvsfd0tst5z" timestamp="1694436654" guid="7f7a91b8-79b2-4fd4-a0c8-e53cb3889e5c"&gt;1461&lt;/key&gt;&lt;/foreign-keys&gt;&lt;ref-type name="Journal Article"&gt;17&lt;/ref-type&gt;&lt;contributors&gt;&lt;authors&gt;&lt;author&gt;Sweeting, Michael J&lt;/author&gt;&lt;author&gt;Marshall, John&lt;/author&gt;&lt;author&gt;Glover, Matthew&lt;/author&gt;&lt;author&gt;Nasim, Akhtar&lt;/author&gt;&lt;author&gt;Bown, Matthew J&lt;/author&gt;&lt;/authors&gt;&lt;/contributors&gt;&lt;titles&gt;&lt;title&gt;Evaluating the cost-effectiveness of changes to the surveillance intervals in the uk abdominal aortic aneurysm screening programme&lt;/title&gt;&lt;secondary-title&gt;Value in Health&lt;/secondary-title&gt;&lt;/titles&gt;&lt;periodical&gt;&lt;full-title&gt;Value in Health&lt;/full-title&gt;&lt;/periodical&gt;&lt;pages&gt;369-376&lt;/pages&gt;&lt;volume&gt;24&lt;/volume&gt;&lt;number&gt;3&lt;/number&gt;&lt;dates&gt;&lt;year&gt;2021&lt;/year&gt;&lt;/dates&gt;&lt;isbn&gt;1098-3015&lt;/isbn&gt;&lt;urls&gt;&lt;/urls&gt;&lt;/record&gt;&lt;/Cite&gt;&lt;/EndNote&gt;</w:instrText>
      </w:r>
      <w:r>
        <w:rPr>
          <w:sz w:val="24"/>
          <w:szCs w:val="24"/>
        </w:rPr>
        <w:fldChar w:fldCharType="separate"/>
      </w:r>
      <w:r>
        <w:rPr>
          <w:noProof/>
          <w:sz w:val="24"/>
          <w:szCs w:val="24"/>
        </w:rPr>
        <w:t>(Sweeting</w:t>
      </w:r>
      <w:r w:rsidRPr="0060070A">
        <w:rPr>
          <w:i/>
          <w:noProof/>
          <w:sz w:val="24"/>
          <w:szCs w:val="24"/>
        </w:rPr>
        <w:t xml:space="preserve"> et al.</w:t>
      </w:r>
      <w:r>
        <w:rPr>
          <w:noProof/>
          <w:sz w:val="24"/>
          <w:szCs w:val="24"/>
        </w:rPr>
        <w:t>, 2021)</w:t>
      </w:r>
      <w:r>
        <w:rPr>
          <w:sz w:val="24"/>
          <w:szCs w:val="24"/>
        </w:rPr>
        <w:fldChar w:fldCharType="end"/>
      </w:r>
    </w:p>
    <w:p w14:paraId="76228666" w14:textId="44BDFC76" w:rsidR="0060070A" w:rsidRPr="0060070A" w:rsidRDefault="0060070A" w:rsidP="00F14DA0">
      <w:pPr>
        <w:pStyle w:val="ListParagraph"/>
        <w:numPr>
          <w:ilvl w:val="0"/>
          <w:numId w:val="26"/>
        </w:numPr>
        <w:rPr>
          <w:b/>
          <w:bCs/>
          <w:sz w:val="24"/>
          <w:szCs w:val="24"/>
        </w:rPr>
      </w:pPr>
      <w:r w:rsidRPr="0060070A">
        <w:rPr>
          <w:sz w:val="24"/>
          <w:szCs w:val="24"/>
        </w:rPr>
        <w:t xml:space="preserve">The Screening Management and Referral Tracking system used by NAAASP is 97% accurate in holding patient contact details, and nonattenders are four times more likely to respond to telephone contact. Reasons for failing to attend screening invitations include factors that can be addressed at a regional level such as: inconvenient timings/locations of screening clinics and a lack of awareness or understanding of what AAA screening means as well as language/literacy barriers. The incidence of AAAs in the </w:t>
      </w:r>
      <w:proofErr w:type="spellStart"/>
      <w:r w:rsidRPr="0060070A">
        <w:rPr>
          <w:sz w:val="24"/>
          <w:szCs w:val="24"/>
        </w:rPr>
        <w:t>nonattendee</w:t>
      </w:r>
      <w:proofErr w:type="spellEnd"/>
      <w:r w:rsidRPr="0060070A">
        <w:rPr>
          <w:sz w:val="24"/>
          <w:szCs w:val="24"/>
        </w:rPr>
        <w:t xml:space="preserve"> group was almost 3 times that of our general (attending) population. Afro-Caribbean men were disproportionately less likely to attend for screening </w:t>
      </w:r>
      <w:r w:rsidRPr="0060070A">
        <w:rPr>
          <w:sz w:val="24"/>
          <w:szCs w:val="24"/>
        </w:rPr>
        <w:fldChar w:fldCharType="begin"/>
      </w:r>
      <w:r w:rsidR="0046172D">
        <w:rPr>
          <w:sz w:val="24"/>
          <w:szCs w:val="24"/>
        </w:rPr>
        <w:instrText xml:space="preserve"> ADDIN EN.CITE &lt;EndNote&gt;&lt;Cite&gt;&lt;Author&gt;Ahmad&lt;/Author&gt;&lt;Year&gt;2021&lt;/Year&gt;&lt;RecNum&gt;1460&lt;/RecNum&gt;&lt;DisplayText&gt;(Ahmad&lt;style face="italic"&gt; et al.&lt;/style&gt;, 2021)&lt;/DisplayText&gt;&lt;record&gt;&lt;rec-number&gt;1460&lt;/rec-number&gt;&lt;foreign-keys&gt;&lt;key app="EN" db-id="xs9axatw70vf2ze9vdmxt0skppvsfd0tst5z" timestamp="1694436555" guid="19962fb8-eafa-4cee-ae11-56c7e5cc7e2d"&gt;1460&lt;/key&gt;&lt;/foreign-keys&gt;&lt;ref-type name="Journal Article"&gt;17&lt;/ref-type&gt;&lt;contributors&gt;&lt;authors&gt;&lt;author&gt;Ahmad, Mehtab&lt;/author&gt;&lt;author&gt;Reading, Kimberley&lt;/author&gt;&lt;author&gt;Gannon, Mark X&lt;/author&gt;&lt;/authors&gt;&lt;/contributors&gt;&lt;titles&gt;&lt;title&gt;Improving Abdominal Aortic Aneurysm (AAA) Screening Uptake through Patient Engagement—Analysis and Outcomes of Strategies to Improve Uptake at a Regional Program Level&lt;/title&gt;&lt;secondary-title&gt;Annals of vascular surgery&lt;/secondary-title&gt;&lt;/titles&gt;&lt;periodical&gt;&lt;full-title&gt;Annals of vascular surgery&lt;/full-title&gt;&lt;/periodical&gt;&lt;pages&gt;488-497&lt;/pages&gt;&lt;volume&gt;72&lt;/volume&gt;&lt;dates&gt;&lt;year&gt;2021&lt;/year&gt;&lt;/dates&gt;&lt;isbn&gt;0890-5096&lt;/isbn&gt;&lt;urls&gt;&lt;/urls&gt;&lt;/record&gt;&lt;/Cite&gt;&lt;/EndNote&gt;</w:instrText>
      </w:r>
      <w:r w:rsidRPr="0060070A">
        <w:rPr>
          <w:sz w:val="24"/>
          <w:szCs w:val="24"/>
        </w:rPr>
        <w:fldChar w:fldCharType="separate"/>
      </w:r>
      <w:r w:rsidRPr="0060070A">
        <w:rPr>
          <w:noProof/>
          <w:sz w:val="24"/>
          <w:szCs w:val="24"/>
        </w:rPr>
        <w:t>(Ahmad</w:t>
      </w:r>
      <w:r w:rsidRPr="0060070A">
        <w:rPr>
          <w:i/>
          <w:noProof/>
          <w:sz w:val="24"/>
          <w:szCs w:val="24"/>
        </w:rPr>
        <w:t xml:space="preserve"> et al.</w:t>
      </w:r>
      <w:r w:rsidRPr="0060070A">
        <w:rPr>
          <w:noProof/>
          <w:sz w:val="24"/>
          <w:szCs w:val="24"/>
        </w:rPr>
        <w:t>, 2021)</w:t>
      </w:r>
      <w:r w:rsidRPr="0060070A">
        <w:rPr>
          <w:sz w:val="24"/>
          <w:szCs w:val="24"/>
        </w:rPr>
        <w:fldChar w:fldCharType="end"/>
      </w:r>
    </w:p>
    <w:p w14:paraId="20AC9C9D" w14:textId="77777777" w:rsidR="0060070A" w:rsidRPr="0060070A" w:rsidRDefault="0060070A" w:rsidP="00F14DA0">
      <w:pPr>
        <w:pStyle w:val="ListParagraph"/>
        <w:numPr>
          <w:ilvl w:val="0"/>
          <w:numId w:val="26"/>
        </w:numPr>
        <w:rPr>
          <w:b/>
          <w:bCs/>
          <w:sz w:val="24"/>
          <w:szCs w:val="24"/>
        </w:rPr>
      </w:pPr>
    </w:p>
    <w:p w14:paraId="50C9008E" w14:textId="77777777" w:rsidR="00F14DA0" w:rsidRPr="0060070A" w:rsidRDefault="00F14DA0" w:rsidP="00F14DA0">
      <w:pPr>
        <w:spacing w:after="0" w:line="240" w:lineRule="auto"/>
        <w:rPr>
          <w:b/>
          <w:bCs/>
          <w:sz w:val="24"/>
          <w:szCs w:val="24"/>
        </w:rPr>
      </w:pPr>
      <w:r w:rsidRPr="0060070A">
        <w:rPr>
          <w:b/>
          <w:bCs/>
          <w:sz w:val="24"/>
          <w:szCs w:val="24"/>
        </w:rPr>
        <w:t>The main recommendations put forward by the above papers include:</w:t>
      </w:r>
    </w:p>
    <w:p w14:paraId="4A27320F" w14:textId="77777777" w:rsidR="00F14DA0" w:rsidRPr="0060070A" w:rsidRDefault="00F14DA0" w:rsidP="00F14DA0">
      <w:pPr>
        <w:spacing w:after="0" w:line="240" w:lineRule="auto"/>
        <w:rPr>
          <w:rFonts w:asciiTheme="majorHAnsi" w:hAnsiTheme="majorHAnsi" w:cstheme="majorHAnsi"/>
          <w:b/>
          <w:bCs/>
          <w:color w:val="000000" w:themeColor="text1"/>
          <w:sz w:val="24"/>
          <w:szCs w:val="24"/>
        </w:rPr>
      </w:pPr>
    </w:p>
    <w:p w14:paraId="5CB8478F" w14:textId="72B06547" w:rsidR="00F14DA0" w:rsidRPr="0060070A" w:rsidRDefault="0060070A" w:rsidP="00F14DA0">
      <w:pPr>
        <w:pStyle w:val="ListParagraph"/>
        <w:numPr>
          <w:ilvl w:val="0"/>
          <w:numId w:val="27"/>
        </w:numPr>
        <w:rPr>
          <w:b/>
          <w:bCs/>
          <w:sz w:val="24"/>
          <w:szCs w:val="24"/>
        </w:rPr>
      </w:pPr>
      <w:r w:rsidRPr="0060070A">
        <w:rPr>
          <w:b/>
          <w:bCs/>
          <w:sz w:val="24"/>
          <w:szCs w:val="24"/>
        </w:rPr>
        <w:t xml:space="preserve">A dedicated, coordinated strategy should be devised across healthcare </w:t>
      </w:r>
      <w:proofErr w:type="spellStart"/>
      <w:r w:rsidRPr="0060070A">
        <w:rPr>
          <w:b/>
          <w:bCs/>
          <w:sz w:val="24"/>
          <w:szCs w:val="24"/>
        </w:rPr>
        <w:t>specialisms</w:t>
      </w:r>
      <w:proofErr w:type="spellEnd"/>
      <w:r w:rsidRPr="0060070A">
        <w:rPr>
          <w:b/>
          <w:bCs/>
          <w:sz w:val="24"/>
          <w:szCs w:val="24"/>
        </w:rPr>
        <w:t xml:space="preserve"> to ensure that diabetes screening and detection opportunities are not </w:t>
      </w:r>
      <w:proofErr w:type="gramStart"/>
      <w:r w:rsidRPr="0060070A">
        <w:rPr>
          <w:b/>
          <w:bCs/>
          <w:sz w:val="24"/>
          <w:szCs w:val="24"/>
        </w:rPr>
        <w:t>missed</w:t>
      </w:r>
      <w:proofErr w:type="gramEnd"/>
    </w:p>
    <w:p w14:paraId="15D7FA26" w14:textId="6E491494" w:rsidR="0060070A" w:rsidRPr="00DC63B6" w:rsidRDefault="0060070A" w:rsidP="00F14DA0">
      <w:pPr>
        <w:pStyle w:val="ListParagraph"/>
        <w:numPr>
          <w:ilvl w:val="0"/>
          <w:numId w:val="27"/>
        </w:numPr>
        <w:rPr>
          <w:b/>
          <w:bCs/>
        </w:rPr>
      </w:pPr>
      <w:r w:rsidRPr="0060070A">
        <w:rPr>
          <w:b/>
          <w:bCs/>
          <w:sz w:val="24"/>
          <w:szCs w:val="24"/>
        </w:rPr>
        <w:t>Problems associated with a lack of integration between DRS with other diabetes care processes were identified as a major barrier to providing holistic care to young adults and supporting diabetes self-management.</w:t>
      </w:r>
    </w:p>
    <w:p w14:paraId="4D2800FE" w14:textId="2FA07CD8" w:rsidR="00DC63B6" w:rsidRDefault="00DC63B6" w:rsidP="00F14DA0">
      <w:pPr>
        <w:pStyle w:val="ListParagraph"/>
        <w:numPr>
          <w:ilvl w:val="0"/>
          <w:numId w:val="27"/>
        </w:numPr>
        <w:rPr>
          <w:b/>
          <w:bCs/>
          <w:sz w:val="24"/>
          <w:szCs w:val="24"/>
        </w:rPr>
      </w:pPr>
      <w:r w:rsidRPr="00DC63B6">
        <w:rPr>
          <w:b/>
          <w:bCs/>
          <w:sz w:val="24"/>
          <w:szCs w:val="24"/>
        </w:rPr>
        <w:t>For AAA, there is particular importance of regional attempts to contact and engage nonattenders as they may be most at risk of developing AAAs.</w:t>
      </w:r>
    </w:p>
    <w:p w14:paraId="146947A0" w14:textId="59C2BFD3" w:rsidR="00DC63B6" w:rsidRPr="00DC63B6" w:rsidRDefault="00DC63B6" w:rsidP="00F14DA0">
      <w:pPr>
        <w:pStyle w:val="ListParagraph"/>
        <w:numPr>
          <w:ilvl w:val="0"/>
          <w:numId w:val="27"/>
        </w:numPr>
        <w:rPr>
          <w:b/>
          <w:bCs/>
          <w:sz w:val="24"/>
          <w:szCs w:val="24"/>
        </w:rPr>
      </w:pPr>
      <w:r w:rsidRPr="00DC63B6">
        <w:rPr>
          <w:b/>
          <w:bCs/>
          <w:sz w:val="24"/>
          <w:szCs w:val="24"/>
        </w:rPr>
        <w:t xml:space="preserve">Identifying areas and populations with poor uptake is important as we have shown that some of the most vulnerable men, living in the most deprived areas of our population, have a higher incidence of an AAA and some of the barriers they </w:t>
      </w:r>
      <w:proofErr w:type="gramStart"/>
      <w:r w:rsidRPr="00DC63B6">
        <w:rPr>
          <w:b/>
          <w:bCs/>
          <w:sz w:val="24"/>
          <w:szCs w:val="24"/>
        </w:rPr>
        <w:t>have to</w:t>
      </w:r>
      <w:proofErr w:type="gramEnd"/>
      <w:r w:rsidRPr="00DC63B6">
        <w:rPr>
          <w:b/>
          <w:bCs/>
          <w:sz w:val="24"/>
          <w:szCs w:val="24"/>
        </w:rPr>
        <w:t xml:space="preserve"> screening can be modified and improved by the screening program.</w:t>
      </w:r>
    </w:p>
    <w:p w14:paraId="2E981C21" w14:textId="2CC665D4" w:rsidR="00F14DA0" w:rsidRPr="000B6A1A" w:rsidRDefault="00F14DA0" w:rsidP="00F14DA0">
      <w:pPr>
        <w:pStyle w:val="Heading2"/>
      </w:pPr>
      <w:r>
        <w:t>Outbreak Management</w:t>
      </w:r>
      <w:r w:rsidRPr="000B6A1A">
        <w:t xml:space="preserve">: </w:t>
      </w:r>
    </w:p>
    <w:p w14:paraId="1C7BE4CC" w14:textId="5A17FDB7" w:rsidR="00F14DA0" w:rsidRPr="000D1228" w:rsidRDefault="0046172D" w:rsidP="00F14DA0">
      <w:pPr>
        <w:pStyle w:val="ListParagraph"/>
        <w:numPr>
          <w:ilvl w:val="0"/>
          <w:numId w:val="26"/>
        </w:numPr>
        <w:rPr>
          <w:b/>
          <w:bCs/>
          <w:sz w:val="24"/>
          <w:szCs w:val="24"/>
        </w:rPr>
      </w:pPr>
      <w:r w:rsidRPr="000D1228">
        <w:rPr>
          <w:sz w:val="24"/>
          <w:szCs w:val="24"/>
        </w:rPr>
        <w:t xml:space="preserve">Dense sequencing of the viruses can provide actionable information for pandemic management, including: identifying a </w:t>
      </w:r>
      <w:proofErr w:type="spellStart"/>
      <w:r w:rsidRPr="000D1228">
        <w:rPr>
          <w:sz w:val="24"/>
          <w:szCs w:val="24"/>
        </w:rPr>
        <w:t>sublineage</w:t>
      </w:r>
      <w:proofErr w:type="spellEnd"/>
      <w:r w:rsidRPr="000D1228">
        <w:rPr>
          <w:sz w:val="24"/>
          <w:szCs w:val="24"/>
        </w:rPr>
        <w:t xml:space="preserve"> associated with care facilities, ruling out a large nosocomial outbreak in a hospital, showing no evidence of reinfection in longitudinal samples, and confirming an outbreak at a food processing facility while allowing for spillover into the community to be monitored </w:t>
      </w:r>
      <w:r w:rsidRPr="000D1228">
        <w:rPr>
          <w:sz w:val="24"/>
          <w:szCs w:val="24"/>
        </w:rPr>
        <w:fldChar w:fldCharType="begin"/>
      </w:r>
      <w:r w:rsidRPr="000D1228">
        <w:rPr>
          <w:sz w:val="24"/>
          <w:szCs w:val="24"/>
        </w:rPr>
        <w:instrText xml:space="preserve"> ADDIN EN.CITE &lt;EndNote&gt;&lt;Cite&gt;&lt;Author&gt;Page&lt;/Author&gt;&lt;Year&gt;2021&lt;/Year&gt;&lt;RecNum&gt;1462&lt;/RecNum&gt;&lt;DisplayText&gt;(Page&lt;style face="italic"&gt; et al.&lt;/style&gt;, 2021)&lt;/DisplayText&gt;&lt;record&gt;&lt;rec-number&gt;1462&lt;/rec-number&gt;&lt;foreign-keys&gt;&lt;key app="EN" db-id="xs9axatw70vf2ze9vdmxt0skppvsfd0tst5z" timestamp="1694437221"&gt;1462&lt;/key&gt;&lt;/foreign-keys&gt;&lt;ref-type name="Journal Article"&gt;17&lt;/ref-type&gt;&lt;contributors&gt;&lt;authors&gt;&lt;author&gt;Page, Andrew J&lt;/author&gt;&lt;author&gt;Mather, Alison E&lt;/author&gt;&lt;author&gt;Le-Viet, Thanh&lt;/author&gt;&lt;author&gt;Meader, Emma J&lt;/author&gt;&lt;author&gt;Alikhan, Nabil-Fareed&lt;/author&gt;&lt;author&gt;Kay, Gemma L&lt;/author&gt;&lt;author&gt;de Oliveira Martins, Leonardo&lt;/author&gt;&lt;author&gt;Aydin, Alp&lt;/author&gt;&lt;author&gt;Baker, David J&lt;/author&gt;&lt;author&gt;Trotter, Alexander J&lt;/author&gt;&lt;/authors&gt;&lt;/contributors&gt;&lt;titles&gt;&lt;title&gt;Large-scale sequencing of SARS-CoV-2 genomes from one region allows detailed epidemiology and enables local outbreak management&lt;/title&gt;&lt;secondary-title&gt;Microbial genomics&lt;/secondary-title&gt;&lt;/titles&gt;&lt;periodical&gt;&lt;full-title&gt;Microbial genomics&lt;/full-title&gt;&lt;/periodical&gt;&lt;pages&gt;000589&lt;/pages&gt;&lt;volume&gt;7&lt;/volume&gt;&lt;number&gt;6&lt;/number&gt;&lt;dates&gt;&lt;year&gt;2021&lt;/year&gt;&lt;/dates&gt;&lt;isbn&gt;2057-5858&lt;/isbn&gt;&lt;urls&gt;&lt;/urls&gt;&lt;/record&gt;&lt;/Cite&gt;&lt;/EndNote&gt;</w:instrText>
      </w:r>
      <w:r w:rsidRPr="000D1228">
        <w:rPr>
          <w:sz w:val="24"/>
          <w:szCs w:val="24"/>
        </w:rPr>
        <w:fldChar w:fldCharType="separate"/>
      </w:r>
      <w:r w:rsidRPr="000D1228">
        <w:rPr>
          <w:noProof/>
          <w:sz w:val="24"/>
          <w:szCs w:val="24"/>
        </w:rPr>
        <w:t>(Page</w:t>
      </w:r>
      <w:r w:rsidRPr="000D1228">
        <w:rPr>
          <w:i/>
          <w:noProof/>
          <w:sz w:val="24"/>
          <w:szCs w:val="24"/>
        </w:rPr>
        <w:t xml:space="preserve"> et al.</w:t>
      </w:r>
      <w:r w:rsidRPr="000D1228">
        <w:rPr>
          <w:noProof/>
          <w:sz w:val="24"/>
          <w:szCs w:val="24"/>
        </w:rPr>
        <w:t>, 2021)</w:t>
      </w:r>
      <w:r w:rsidRPr="000D1228">
        <w:rPr>
          <w:sz w:val="24"/>
          <w:szCs w:val="24"/>
        </w:rPr>
        <w:fldChar w:fldCharType="end"/>
      </w:r>
    </w:p>
    <w:p w14:paraId="0BAD909E" w14:textId="74CD5394" w:rsidR="000D1228" w:rsidRPr="000D1228" w:rsidRDefault="000D1228" w:rsidP="00F14DA0">
      <w:pPr>
        <w:pStyle w:val="ListParagraph"/>
        <w:numPr>
          <w:ilvl w:val="0"/>
          <w:numId w:val="26"/>
        </w:numPr>
        <w:rPr>
          <w:b/>
          <w:bCs/>
          <w:sz w:val="24"/>
          <w:szCs w:val="24"/>
        </w:rPr>
      </w:pPr>
      <w:r w:rsidRPr="000D1228">
        <w:rPr>
          <w:sz w:val="24"/>
          <w:szCs w:val="24"/>
        </w:rPr>
        <w:t xml:space="preserve">In the </w:t>
      </w:r>
      <w:proofErr w:type="gramStart"/>
      <w:r w:rsidRPr="000D1228">
        <w:rPr>
          <w:sz w:val="24"/>
          <w:szCs w:val="24"/>
        </w:rPr>
        <w:t>North East</w:t>
      </w:r>
      <w:proofErr w:type="gramEnd"/>
      <w:r w:rsidRPr="000D1228">
        <w:rPr>
          <w:sz w:val="24"/>
          <w:szCs w:val="24"/>
        </w:rPr>
        <w:t xml:space="preserve"> there have been encouraging signs of new partnerships spurred on by the COVID-19 crisis in bringing both local government and the National Health Service closer together and producing local responses to the pandemic. However, there is a frustration that central government is too far removed from understanding both regional and local needs </w:t>
      </w:r>
      <w:r w:rsidRPr="000D1228">
        <w:rPr>
          <w:sz w:val="24"/>
          <w:szCs w:val="24"/>
        </w:rPr>
        <w:fldChar w:fldCharType="begin"/>
      </w:r>
      <w:r w:rsidRPr="000D1228">
        <w:rPr>
          <w:sz w:val="24"/>
          <w:szCs w:val="24"/>
        </w:rPr>
        <w:instrText xml:space="preserve"> ADDIN EN.CITE &lt;EndNote&gt;&lt;Cite&gt;&lt;Author&gt;Shutt&lt;/Author&gt;&lt;Year&gt;2023&lt;/Year&gt;&lt;RecNum&gt;1463&lt;/RecNum&gt;&lt;DisplayText&gt;(Shutt, 2023)&lt;/DisplayText&gt;&lt;record&gt;&lt;rec-number&gt;1463&lt;/rec-number&gt;&lt;foreign-keys&gt;&lt;key app="EN" db-id="xs9axatw70vf2ze9vdmxt0skppvsfd0tst5z" timestamp="1694437312"&gt;1463&lt;/key&gt;&lt;/foreign-keys&gt;&lt;ref-type name="Book Section"&gt;5&lt;/ref-type&gt;&lt;contributors&gt;&lt;authors&gt;&lt;author&gt;Shutt, John&lt;/author&gt;&lt;/authors&gt;&lt;/contributors&gt;&lt;titles&gt;&lt;title&gt;Levelling up in the North and North-East England: complex and fragmented governance and the new National Health Service and local government partnerships&lt;/title&gt;&lt;secondary-title&gt;COVID-19 and Social Determinants of Health&lt;/secondary-title&gt;&lt;/titles&gt;&lt;pages&gt;87-99&lt;/pages&gt;&lt;dates&gt;&lt;year&gt;2023&lt;/year&gt;&lt;/dates&gt;&lt;publisher&gt;Policy Press&lt;/publisher&gt;&lt;isbn&gt;144736497X&lt;/isbn&gt;&lt;urls&gt;&lt;/urls&gt;&lt;/record&gt;&lt;/Cite&gt;&lt;/EndNote&gt;</w:instrText>
      </w:r>
      <w:r w:rsidRPr="000D1228">
        <w:rPr>
          <w:sz w:val="24"/>
          <w:szCs w:val="24"/>
        </w:rPr>
        <w:fldChar w:fldCharType="separate"/>
      </w:r>
      <w:r w:rsidRPr="000D1228">
        <w:rPr>
          <w:noProof/>
          <w:sz w:val="24"/>
          <w:szCs w:val="24"/>
        </w:rPr>
        <w:t>(Shutt, 2023)</w:t>
      </w:r>
      <w:r w:rsidRPr="000D1228">
        <w:rPr>
          <w:sz w:val="24"/>
          <w:szCs w:val="24"/>
        </w:rPr>
        <w:fldChar w:fldCharType="end"/>
      </w:r>
    </w:p>
    <w:p w14:paraId="7A55C22C" w14:textId="43353243" w:rsidR="000D1228" w:rsidRPr="00924A98" w:rsidRDefault="000D1228" w:rsidP="00924A98">
      <w:pPr>
        <w:pStyle w:val="ListParagraph"/>
        <w:numPr>
          <w:ilvl w:val="0"/>
          <w:numId w:val="26"/>
        </w:numPr>
        <w:rPr>
          <w:b/>
          <w:bCs/>
          <w:sz w:val="24"/>
          <w:szCs w:val="24"/>
        </w:rPr>
      </w:pPr>
      <w:r w:rsidRPr="000D1228">
        <w:rPr>
          <w:sz w:val="24"/>
          <w:szCs w:val="24"/>
        </w:rPr>
        <w:t xml:space="preserve">School closures can affect deaths during an outbreak either positively, through reducing transmission and the number of cases, or negatively, through reductions in the health-care workforce available to care for those who are sick </w:t>
      </w:r>
      <w:r w:rsidRPr="000D1228">
        <w:rPr>
          <w:sz w:val="24"/>
          <w:szCs w:val="24"/>
        </w:rPr>
        <w:fldChar w:fldCharType="begin"/>
      </w:r>
      <w:r w:rsidRPr="000D1228">
        <w:rPr>
          <w:sz w:val="24"/>
          <w:szCs w:val="24"/>
        </w:rPr>
        <w:instrText xml:space="preserve"> ADDIN EN.CITE &lt;EndNote&gt;&lt;Cite&gt;&lt;Author&gt;Viner&lt;/Author&gt;&lt;Year&gt;2020&lt;/Year&gt;&lt;RecNum&gt;1464&lt;/RecNum&gt;&lt;DisplayText&gt;(Viner&lt;style face="italic"&gt; et al.&lt;/style&gt;, 2020)&lt;/DisplayText&gt;&lt;record&gt;&lt;rec-number&gt;1464&lt;/rec-number&gt;&lt;foreign-keys&gt;&lt;key app="EN" db-id="xs9axatw70vf2ze9vdmxt0skppvsfd0tst5z" timestamp="1694437425"&gt;1464&lt;/key&gt;&lt;/foreign-keys&gt;&lt;ref-type name="Journal Article"&gt;17&lt;/ref-type&gt;&lt;contributors&gt;&lt;authors&gt;&lt;author&gt;Viner, Russell M&lt;/author&gt;&lt;author&gt;Russell, Simon J&lt;/author&gt;&lt;author&gt;Croker, Helen&lt;/author&gt;&lt;author&gt;Packer, Jessica&lt;/author&gt;&lt;author&gt;Ward, Joseph&lt;/author&gt;&lt;author&gt;Stansfield, Claire&lt;/author&gt;&lt;author&gt;Mytton, Oliver&lt;/author&gt;&lt;author&gt;Bonell, Chris&lt;/author&gt;&lt;author&gt;Booy, Robert&lt;/author&gt;&lt;/authors&gt;&lt;/contributors&gt;&lt;titles&gt;&lt;title&gt;School closure and management practices during coronavirus outbreaks including COVID-19: a rapid systematic review&lt;/title&gt;&lt;secondary-title&gt;The Lancet Child &amp;amp; Adolescent Health&lt;/secondary-title&gt;&lt;/titles&gt;&lt;periodical&gt;&lt;full-title&gt;The Lancet Child &amp;amp; Adolescent Health&lt;/full-title&gt;&lt;/periodical&gt;&lt;pages&gt;397-404&lt;/pages&gt;&lt;volume&gt;4&lt;/volume&gt;&lt;number&gt;5&lt;/number&gt;&lt;dates&gt;&lt;year&gt;2020&lt;/year&gt;&lt;/dates&gt;&lt;isbn&gt;2352-4642&lt;/isbn&gt;&lt;urls&gt;&lt;/urls&gt;&lt;/record&gt;&lt;/Cite&gt;&lt;/EndNote&gt;</w:instrText>
      </w:r>
      <w:r w:rsidRPr="000D1228">
        <w:rPr>
          <w:sz w:val="24"/>
          <w:szCs w:val="24"/>
        </w:rPr>
        <w:fldChar w:fldCharType="separate"/>
      </w:r>
      <w:r w:rsidRPr="000D1228">
        <w:rPr>
          <w:noProof/>
          <w:sz w:val="24"/>
          <w:szCs w:val="24"/>
        </w:rPr>
        <w:t>(Viner</w:t>
      </w:r>
      <w:r w:rsidRPr="000D1228">
        <w:rPr>
          <w:i/>
          <w:noProof/>
          <w:sz w:val="24"/>
          <w:szCs w:val="24"/>
        </w:rPr>
        <w:t xml:space="preserve"> et al.</w:t>
      </w:r>
      <w:r w:rsidRPr="000D1228">
        <w:rPr>
          <w:noProof/>
          <w:sz w:val="24"/>
          <w:szCs w:val="24"/>
        </w:rPr>
        <w:t>, 2020)</w:t>
      </w:r>
      <w:r w:rsidRPr="000D1228">
        <w:rPr>
          <w:sz w:val="24"/>
          <w:szCs w:val="24"/>
        </w:rPr>
        <w:fldChar w:fldCharType="end"/>
      </w:r>
    </w:p>
    <w:p w14:paraId="58053289" w14:textId="77777777" w:rsidR="00F14DA0" w:rsidRPr="000D1228" w:rsidRDefault="00F14DA0" w:rsidP="00F14DA0">
      <w:pPr>
        <w:spacing w:after="0" w:line="240" w:lineRule="auto"/>
        <w:rPr>
          <w:b/>
          <w:bCs/>
          <w:sz w:val="24"/>
          <w:szCs w:val="24"/>
        </w:rPr>
      </w:pPr>
      <w:r w:rsidRPr="000D1228">
        <w:rPr>
          <w:b/>
          <w:bCs/>
          <w:sz w:val="24"/>
          <w:szCs w:val="24"/>
        </w:rPr>
        <w:lastRenderedPageBreak/>
        <w:t>The main recommendations put forward by the above papers include:</w:t>
      </w:r>
    </w:p>
    <w:p w14:paraId="5A709619" w14:textId="77777777" w:rsidR="00F14DA0" w:rsidRPr="00371FBB" w:rsidRDefault="00F14DA0" w:rsidP="00F14DA0">
      <w:pPr>
        <w:spacing w:after="0" w:line="240" w:lineRule="auto"/>
        <w:rPr>
          <w:rFonts w:asciiTheme="majorHAnsi" w:hAnsiTheme="majorHAnsi" w:cstheme="majorHAnsi"/>
          <w:color w:val="000000" w:themeColor="text1"/>
        </w:rPr>
      </w:pPr>
    </w:p>
    <w:p w14:paraId="2C3B1F3D" w14:textId="15BC4949" w:rsidR="00F14DA0" w:rsidRDefault="000D1228" w:rsidP="00F14DA0">
      <w:pPr>
        <w:pStyle w:val="ListParagraph"/>
        <w:numPr>
          <w:ilvl w:val="0"/>
          <w:numId w:val="27"/>
        </w:numPr>
        <w:rPr>
          <w:b/>
          <w:bCs/>
          <w:sz w:val="24"/>
          <w:szCs w:val="24"/>
        </w:rPr>
      </w:pPr>
      <w:r w:rsidRPr="000D1228">
        <w:rPr>
          <w:b/>
          <w:bCs/>
          <w:sz w:val="24"/>
          <w:szCs w:val="24"/>
        </w:rPr>
        <w:t xml:space="preserve">School closure presents an apparently common-sense method of dramatically reducing </w:t>
      </w:r>
      <w:proofErr w:type="gramStart"/>
      <w:r w:rsidRPr="000D1228">
        <w:rPr>
          <w:b/>
          <w:bCs/>
          <w:sz w:val="24"/>
          <w:szCs w:val="24"/>
        </w:rPr>
        <w:t>spread</w:t>
      </w:r>
      <w:proofErr w:type="gramEnd"/>
      <w:r w:rsidRPr="000D1228">
        <w:rPr>
          <w:b/>
          <w:bCs/>
          <w:sz w:val="24"/>
          <w:szCs w:val="24"/>
        </w:rPr>
        <w:t xml:space="preserve"> of disease and the evidence from previous influenza outbreaks appears compelling. However, policy makers need to be aware of the equivocal evidence when proposing or implementing national or regional school closures for COVID-19, given the very high costs of lengthy school closures during pandemic</w:t>
      </w:r>
      <w:r w:rsidR="00924A98">
        <w:rPr>
          <w:b/>
          <w:bCs/>
          <w:sz w:val="24"/>
          <w:szCs w:val="24"/>
        </w:rPr>
        <w:t>s.</w:t>
      </w:r>
    </w:p>
    <w:p w14:paraId="7F98A617" w14:textId="47EEA59A" w:rsidR="00924A98" w:rsidRDefault="00D951F1" w:rsidP="00F14DA0">
      <w:pPr>
        <w:pStyle w:val="ListParagraph"/>
        <w:numPr>
          <w:ilvl w:val="0"/>
          <w:numId w:val="27"/>
        </w:numPr>
        <w:rPr>
          <w:b/>
          <w:bCs/>
          <w:sz w:val="24"/>
          <w:szCs w:val="24"/>
        </w:rPr>
      </w:pPr>
      <w:r>
        <w:rPr>
          <w:b/>
          <w:bCs/>
          <w:sz w:val="24"/>
          <w:szCs w:val="24"/>
        </w:rPr>
        <w:t xml:space="preserve">Large-scale genomic sequencing may be used as an important tool in identifying the source and trajectory of outbreaks in order to more effectively manage </w:t>
      </w:r>
      <w:proofErr w:type="gramStart"/>
      <w:r>
        <w:rPr>
          <w:b/>
          <w:bCs/>
          <w:sz w:val="24"/>
          <w:szCs w:val="24"/>
        </w:rPr>
        <w:t>spread</w:t>
      </w:r>
      <w:proofErr w:type="gramEnd"/>
    </w:p>
    <w:p w14:paraId="11F2928E" w14:textId="15068CD5" w:rsidR="00D951F1" w:rsidRPr="000D1228" w:rsidRDefault="00D951F1" w:rsidP="00F14DA0">
      <w:pPr>
        <w:pStyle w:val="ListParagraph"/>
        <w:numPr>
          <w:ilvl w:val="0"/>
          <w:numId w:val="27"/>
        </w:numPr>
        <w:rPr>
          <w:b/>
          <w:bCs/>
          <w:sz w:val="24"/>
          <w:szCs w:val="24"/>
        </w:rPr>
      </w:pPr>
      <w:r>
        <w:rPr>
          <w:b/>
          <w:bCs/>
          <w:sz w:val="24"/>
          <w:szCs w:val="24"/>
        </w:rPr>
        <w:t xml:space="preserve">Transdisciplinary conversations are of paramount importance </w:t>
      </w:r>
      <w:proofErr w:type="gramStart"/>
      <w:r>
        <w:rPr>
          <w:b/>
          <w:bCs/>
          <w:sz w:val="24"/>
          <w:szCs w:val="24"/>
        </w:rPr>
        <w:t>in order to</w:t>
      </w:r>
      <w:proofErr w:type="gramEnd"/>
      <w:r>
        <w:rPr>
          <w:b/>
          <w:bCs/>
          <w:sz w:val="24"/>
          <w:szCs w:val="24"/>
        </w:rPr>
        <w:t xml:space="preserve"> weigh up all available options and consequences.</w:t>
      </w:r>
    </w:p>
    <w:p w14:paraId="32794E21" w14:textId="77777777" w:rsidR="00BA051B" w:rsidRDefault="00BA051B" w:rsidP="00D61F26">
      <w:pPr>
        <w:pStyle w:val="ListParagraph"/>
        <w:rPr>
          <w:rFonts w:cstheme="minorHAnsi"/>
          <w:sz w:val="24"/>
          <w:szCs w:val="24"/>
          <w:lang w:eastAsia="en-GB"/>
        </w:rPr>
      </w:pPr>
    </w:p>
    <w:p w14:paraId="75186504" w14:textId="77777777" w:rsidR="00BA051B" w:rsidRDefault="00BA051B" w:rsidP="00D61F26">
      <w:pPr>
        <w:pStyle w:val="ListParagraph"/>
        <w:rPr>
          <w:rFonts w:cstheme="minorHAnsi"/>
          <w:sz w:val="24"/>
          <w:szCs w:val="24"/>
          <w:lang w:eastAsia="en-GB"/>
        </w:rPr>
      </w:pPr>
    </w:p>
    <w:p w14:paraId="047454D7" w14:textId="77777777" w:rsidR="000D1228" w:rsidRPr="000D1228" w:rsidRDefault="00BA051B" w:rsidP="000D1228">
      <w:pPr>
        <w:pStyle w:val="EndNoteBibliography"/>
        <w:spacing w:after="0"/>
        <w:ind w:left="720" w:hanging="720"/>
      </w:pPr>
      <w:r>
        <w:rPr>
          <w:rFonts w:cstheme="minorHAnsi"/>
          <w:sz w:val="24"/>
          <w:szCs w:val="24"/>
          <w:lang w:eastAsia="en-GB"/>
        </w:rPr>
        <w:fldChar w:fldCharType="begin"/>
      </w:r>
      <w:r>
        <w:rPr>
          <w:rFonts w:cstheme="minorHAnsi"/>
          <w:sz w:val="24"/>
          <w:szCs w:val="24"/>
          <w:lang w:eastAsia="en-GB"/>
        </w:rPr>
        <w:instrText xml:space="preserve"> ADDIN EN.REFLIST </w:instrText>
      </w:r>
      <w:r>
        <w:rPr>
          <w:rFonts w:cstheme="minorHAnsi"/>
          <w:sz w:val="24"/>
          <w:szCs w:val="24"/>
          <w:lang w:eastAsia="en-GB"/>
        </w:rPr>
        <w:fldChar w:fldCharType="separate"/>
      </w:r>
      <w:r w:rsidR="000D1228" w:rsidRPr="000D1228">
        <w:t xml:space="preserve">Ahmad, M., Reading, K., &amp; Gannon, M. X. (2021). Improving Abdominal Aortic Aneurysm (AAA) Screening Uptake through Patient Engagement—Analysis and Outcomes of Strategies to Improve Uptake at a Regional Program Level. </w:t>
      </w:r>
      <w:r w:rsidR="000D1228" w:rsidRPr="000D1228">
        <w:rPr>
          <w:i/>
        </w:rPr>
        <w:t>Annals of vascular surgery, 72</w:t>
      </w:r>
      <w:r w:rsidR="000D1228" w:rsidRPr="000D1228">
        <w:t xml:space="preserve">, 488-497. </w:t>
      </w:r>
    </w:p>
    <w:p w14:paraId="30353562" w14:textId="77777777" w:rsidR="000D1228" w:rsidRPr="000D1228" w:rsidRDefault="000D1228" w:rsidP="000D1228">
      <w:pPr>
        <w:pStyle w:val="EndNoteBibliography"/>
        <w:spacing w:after="0"/>
        <w:ind w:left="720" w:hanging="720"/>
      </w:pPr>
      <w:r w:rsidRPr="000D1228">
        <w:t xml:space="preserve">Bedford, H. E., &amp; Elliman, D. A. (2020). Child and adolescent immunisation in the UK: current issues. </w:t>
      </w:r>
      <w:r w:rsidRPr="000D1228">
        <w:rPr>
          <w:i/>
        </w:rPr>
        <w:t>Paediatrics and Child Health, 30</w:t>
      </w:r>
      <w:r w:rsidRPr="000D1228">
        <w:t xml:space="preserve">(5), 169-174. </w:t>
      </w:r>
    </w:p>
    <w:p w14:paraId="72B7D7AF" w14:textId="77777777" w:rsidR="000D1228" w:rsidRPr="000D1228" w:rsidRDefault="000D1228" w:rsidP="000D1228">
      <w:pPr>
        <w:pStyle w:val="EndNoteBibliography"/>
        <w:spacing w:after="0"/>
        <w:ind w:left="720" w:hanging="720"/>
      </w:pPr>
      <w:r w:rsidRPr="000D1228">
        <w:t xml:space="preserve">Bowe, F., Paul, I., Ferguson, J., Dunning, J., &amp; Harrison, S. (2020). High intensity inspiratory muscle training (HI-IMT) in individuals referred for lung resection surgery. </w:t>
      </w:r>
      <w:r w:rsidRPr="000D1228">
        <w:rPr>
          <w:i/>
        </w:rPr>
        <w:t>Physiotherapy, 107</w:t>
      </w:r>
      <w:r w:rsidRPr="000D1228">
        <w:t xml:space="preserve">, e33-e34. </w:t>
      </w:r>
    </w:p>
    <w:p w14:paraId="3CBF0A45" w14:textId="77777777" w:rsidR="000D1228" w:rsidRPr="000D1228" w:rsidRDefault="000D1228" w:rsidP="000D1228">
      <w:pPr>
        <w:pStyle w:val="EndNoteBibliography"/>
        <w:spacing w:after="0"/>
        <w:ind w:left="720" w:hanging="720"/>
      </w:pPr>
      <w:r w:rsidRPr="000D1228">
        <w:t xml:space="preserve">Burkert, J., Jarman, R., &amp; Deol, P. (2023). Evolution of Lung Abnormalities on Lung Ultrasound in Recovery From COVID‐19 Disease—A Prospective, Longitudinal Observational Cohort Study. </w:t>
      </w:r>
      <w:r w:rsidRPr="000D1228">
        <w:rPr>
          <w:i/>
        </w:rPr>
        <w:t>Journal of Ultrasound in Medicine, 42</w:t>
      </w:r>
      <w:r w:rsidRPr="000D1228">
        <w:t xml:space="preserve">(1), 147-159. </w:t>
      </w:r>
    </w:p>
    <w:p w14:paraId="1DCA0FE9" w14:textId="77777777" w:rsidR="000D1228" w:rsidRPr="000D1228" w:rsidRDefault="000D1228" w:rsidP="000D1228">
      <w:pPr>
        <w:pStyle w:val="EndNoteBibliography"/>
        <w:spacing w:after="0"/>
        <w:ind w:left="720" w:hanging="720"/>
      </w:pPr>
      <w:r w:rsidRPr="000D1228">
        <w:t xml:space="preserve">Byrnes, K., Hamilton, S., McGeechan, G. J., O'Malley, C., Mankelow, J., &amp; Giles, E. L. (2020). Attitudes and perceptions of people with a learning disability, family carers, and paid care workers towards cancer screening programmes in the United Kingdom: A qualitative systematic review and meta‐aggregation. </w:t>
      </w:r>
      <w:r w:rsidRPr="000D1228">
        <w:rPr>
          <w:i/>
        </w:rPr>
        <w:t>Psycho‐Oncology, 29</w:t>
      </w:r>
      <w:r w:rsidRPr="000D1228">
        <w:t xml:space="preserve">(3), 475-484. </w:t>
      </w:r>
    </w:p>
    <w:p w14:paraId="6825F2A2" w14:textId="77777777" w:rsidR="000D1228" w:rsidRPr="000D1228" w:rsidRDefault="000D1228" w:rsidP="000D1228">
      <w:pPr>
        <w:pStyle w:val="EndNoteBibliography"/>
        <w:spacing w:after="0"/>
        <w:ind w:left="720" w:hanging="720"/>
      </w:pPr>
      <w:r w:rsidRPr="000D1228">
        <w:t xml:space="preserve">Eberhardt, J., Kabuye, J., Agaimwonyi, A., &amp; Ling, J. (2023). </w:t>
      </w:r>
      <w:r w:rsidRPr="000D1228">
        <w:rPr>
          <w:i/>
        </w:rPr>
        <w:t>COVID-19 Booster Vaccine Acceptance in Ethnic Minority Individuals in the United Kingdom: A mixed-methods study using Protection Motivation Theory.</w:t>
      </w:r>
      <w:r w:rsidRPr="000D1228">
        <w:t xml:space="preserve"> Paper presented at the 18th European Congress of Psychology 2023.</w:t>
      </w:r>
    </w:p>
    <w:p w14:paraId="159C3047" w14:textId="77777777" w:rsidR="000D1228" w:rsidRPr="000D1228" w:rsidRDefault="000D1228" w:rsidP="000D1228">
      <w:pPr>
        <w:pStyle w:val="EndNoteBibliography"/>
        <w:spacing w:after="0"/>
        <w:ind w:left="720" w:hanging="720"/>
      </w:pPr>
      <w:r w:rsidRPr="000D1228">
        <w:t xml:space="preserve">Eberhardt, J., &amp; Ling, J. (2023). Explaining COVID-19 vaccination intention in younger adults using protection motivation theory. </w:t>
      </w:r>
      <w:r w:rsidRPr="000D1228">
        <w:rPr>
          <w:i/>
        </w:rPr>
        <w:t>Health Psychology, 42</w:t>
      </w:r>
      <w:r w:rsidRPr="000D1228">
        <w:t xml:space="preserve">(8), 577. </w:t>
      </w:r>
    </w:p>
    <w:p w14:paraId="2C4FE51C" w14:textId="77777777" w:rsidR="000D1228" w:rsidRPr="000D1228" w:rsidRDefault="000D1228" w:rsidP="000D1228">
      <w:pPr>
        <w:pStyle w:val="EndNoteBibliography"/>
        <w:spacing w:after="0"/>
        <w:ind w:left="720" w:hanging="720"/>
      </w:pPr>
      <w:r w:rsidRPr="000D1228">
        <w:t xml:space="preserve">Harte, E., MacLure, C., Martin, A., Saunders, C. L., Meads, C., Walter, F. M., . . . Usher-Smith, J. A. (2018). Reasons why people do not attend NHS Health Checks: a systematic review and qualitative synthesis. </w:t>
      </w:r>
      <w:r w:rsidRPr="000D1228">
        <w:rPr>
          <w:i/>
        </w:rPr>
        <w:t>British Journal of General Practice, 68</w:t>
      </w:r>
      <w:r w:rsidRPr="000D1228">
        <w:t xml:space="preserve">(666), e28-e35. </w:t>
      </w:r>
    </w:p>
    <w:p w14:paraId="48BB7A62" w14:textId="77777777" w:rsidR="000D1228" w:rsidRPr="000D1228" w:rsidRDefault="000D1228" w:rsidP="000D1228">
      <w:pPr>
        <w:pStyle w:val="EndNoteBibliography"/>
        <w:spacing w:after="0"/>
        <w:ind w:left="720" w:hanging="720"/>
      </w:pPr>
      <w:r w:rsidRPr="000D1228">
        <w:t xml:space="preserve">Kelly, C., Emery, P., &amp; Dieudé, P. (2021). Current issues in rheumatoid arthritis-associated interstitial lung disease. </w:t>
      </w:r>
      <w:r w:rsidRPr="000D1228">
        <w:rPr>
          <w:i/>
        </w:rPr>
        <w:t>The Lancet Rheumatology, 3</w:t>
      </w:r>
      <w:r w:rsidRPr="000D1228">
        <w:t xml:space="preserve">(11), e798-e807. </w:t>
      </w:r>
    </w:p>
    <w:p w14:paraId="13018383" w14:textId="77777777" w:rsidR="000D1228" w:rsidRPr="000D1228" w:rsidRDefault="000D1228" w:rsidP="000D1228">
      <w:pPr>
        <w:pStyle w:val="EndNoteBibliography"/>
        <w:spacing w:after="0"/>
        <w:ind w:left="720" w:hanging="720"/>
      </w:pPr>
      <w:r w:rsidRPr="000D1228">
        <w:t xml:space="preserve">Maslowski, K., Reiss, M. J., Biswakarma, R., &amp; Harper, J. (2023). Reproductive health education in the schools of the four UK nations: is it falling through the gap? </w:t>
      </w:r>
      <w:r w:rsidRPr="000D1228">
        <w:rPr>
          <w:i/>
        </w:rPr>
        <w:t>Human Fertility</w:t>
      </w:r>
      <w:r w:rsidRPr="000D1228">
        <w:t xml:space="preserve">, 1-13. </w:t>
      </w:r>
    </w:p>
    <w:p w14:paraId="4DC3357F" w14:textId="77777777" w:rsidR="000D1228" w:rsidRPr="000D1228" w:rsidRDefault="000D1228" w:rsidP="000D1228">
      <w:pPr>
        <w:pStyle w:val="EndNoteBibliography"/>
        <w:spacing w:after="0"/>
        <w:ind w:left="720" w:hanging="720"/>
      </w:pPr>
      <w:r w:rsidRPr="000D1228">
        <w:t xml:space="preserve">McGeechan, G., Burke, S., Bussey, L., &amp; Slater, S. (2020). Final report of Public Health South Tees Cancer Screening Awareness Evaluation. </w:t>
      </w:r>
    </w:p>
    <w:p w14:paraId="5E95B370" w14:textId="77777777" w:rsidR="000D1228" w:rsidRPr="000D1228" w:rsidRDefault="000D1228" w:rsidP="000D1228">
      <w:pPr>
        <w:pStyle w:val="EndNoteBibliography"/>
        <w:spacing w:after="0"/>
        <w:ind w:left="720" w:hanging="720"/>
      </w:pPr>
      <w:r w:rsidRPr="000D1228">
        <w:t xml:space="preserve">Page, A. J., Mather, A. E., Le-Viet, T., Meader, E. J., Alikhan, N.-F., Kay, G. L., . . . Trotter, A. J. (2021). Large-scale sequencing of SARS-CoV-2 genomes from one region allows detailed epidemiology and enables local outbreak management. </w:t>
      </w:r>
      <w:r w:rsidRPr="000D1228">
        <w:rPr>
          <w:i/>
        </w:rPr>
        <w:t>Microbial genomics, 7</w:t>
      </w:r>
      <w:r w:rsidRPr="000D1228">
        <w:t xml:space="preserve">(6), 000589. </w:t>
      </w:r>
    </w:p>
    <w:p w14:paraId="1C535D3F" w14:textId="77777777" w:rsidR="000D1228" w:rsidRPr="000D1228" w:rsidRDefault="000D1228" w:rsidP="000D1228">
      <w:pPr>
        <w:pStyle w:val="EndNoteBibliography"/>
        <w:spacing w:after="0"/>
        <w:ind w:left="720" w:hanging="720"/>
      </w:pPr>
      <w:r w:rsidRPr="000D1228">
        <w:t xml:space="preserve">Patel, R., Barnard, S., Lagord, C., Thompson, K., Hughes, A., Fox, S., . . . Nuttall, M. (2021). Addressing Health Inequalities Through the NHS Health Check Programme in England. </w:t>
      </w:r>
    </w:p>
    <w:p w14:paraId="2E5952A8" w14:textId="77777777" w:rsidR="000D1228" w:rsidRPr="000D1228" w:rsidRDefault="000D1228" w:rsidP="000D1228">
      <w:pPr>
        <w:pStyle w:val="EndNoteBibliography"/>
        <w:spacing w:after="0"/>
        <w:ind w:left="720" w:hanging="720"/>
      </w:pPr>
      <w:r w:rsidRPr="000D1228">
        <w:t xml:space="preserve">Prothero, L., Lorencatto, F., Cartwright, M., Burr, J. M., Gardner, P., Anderson, J., . . . Lawrenson, J. G. (2021). Perceived barriers and enablers to the provision of diabetic retinopathy screening for </w:t>
      </w:r>
      <w:r w:rsidRPr="000D1228">
        <w:lastRenderedPageBreak/>
        <w:t xml:space="preserve">young adults: a cross-sectional survey of healthcare professionals working in the UK National Diabetic Eye Screening Programme. </w:t>
      </w:r>
      <w:r w:rsidRPr="000D1228">
        <w:rPr>
          <w:i/>
        </w:rPr>
        <w:t>BMJ Open Diabetes Research and Care, 9</w:t>
      </w:r>
      <w:r w:rsidRPr="000D1228">
        <w:t xml:space="preserve">(2), e002436. </w:t>
      </w:r>
    </w:p>
    <w:p w14:paraId="0753457D" w14:textId="77777777" w:rsidR="000D1228" w:rsidRPr="000D1228" w:rsidRDefault="000D1228" w:rsidP="000D1228">
      <w:pPr>
        <w:pStyle w:val="EndNoteBibliography"/>
        <w:spacing w:after="0"/>
        <w:ind w:left="720" w:hanging="720"/>
      </w:pPr>
      <w:r w:rsidRPr="000D1228">
        <w:t xml:space="preserve">Quinn, L. M., Shukla, D., Greenfield, S. M., Barrett, T., Garstang, J., Boardman, F., . . . Connop, C. (2022). EarLy Surveillance for Autoimmune diabetes: protocol for a qualitative study of general population and stakeholder perspectives on screening for type 1 diabetes in the UK (ELSA 1). </w:t>
      </w:r>
      <w:r w:rsidRPr="000D1228">
        <w:rPr>
          <w:i/>
        </w:rPr>
        <w:t>BMJ Open Diabetes Research and Care, 10</w:t>
      </w:r>
      <w:r w:rsidRPr="000D1228">
        <w:t xml:space="preserve">(2), e002750. </w:t>
      </w:r>
    </w:p>
    <w:p w14:paraId="569EA95C" w14:textId="77777777" w:rsidR="000D1228" w:rsidRPr="000D1228" w:rsidRDefault="000D1228" w:rsidP="000D1228">
      <w:pPr>
        <w:pStyle w:val="EndNoteBibliography"/>
        <w:spacing w:after="0"/>
        <w:ind w:left="720" w:hanging="720"/>
      </w:pPr>
      <w:r w:rsidRPr="000D1228">
        <w:t xml:space="preserve">Richards, M. (2019). Independent review of national cancer screening programmes in England. </w:t>
      </w:r>
      <w:r w:rsidRPr="000D1228">
        <w:rPr>
          <w:i/>
        </w:rPr>
        <w:t>Interim report of emerging findings</w:t>
      </w:r>
      <w:r w:rsidRPr="000D1228">
        <w:t xml:space="preserve">. </w:t>
      </w:r>
    </w:p>
    <w:p w14:paraId="7DE4AF09" w14:textId="77777777" w:rsidR="000D1228" w:rsidRPr="000D1228" w:rsidRDefault="000D1228" w:rsidP="000D1228">
      <w:pPr>
        <w:pStyle w:val="EndNoteBibliography"/>
        <w:spacing w:after="0"/>
        <w:ind w:left="720" w:hanging="720"/>
      </w:pPr>
      <w:r w:rsidRPr="000D1228">
        <w:t xml:space="preserve">Shutt, J. (2023). Levelling up in the North and North-East England: complex and fragmented governance and the new National Health Service and local government partnerships. In </w:t>
      </w:r>
      <w:r w:rsidRPr="000D1228">
        <w:rPr>
          <w:i/>
        </w:rPr>
        <w:t>COVID-19 and Social Determinants of Health</w:t>
      </w:r>
      <w:r w:rsidRPr="000D1228">
        <w:t xml:space="preserve"> (pp. 87-99): Policy Press.</w:t>
      </w:r>
    </w:p>
    <w:p w14:paraId="334B20A6" w14:textId="77777777" w:rsidR="000D1228" w:rsidRPr="000D1228" w:rsidRDefault="000D1228" w:rsidP="000D1228">
      <w:pPr>
        <w:pStyle w:val="EndNoteBibliography"/>
        <w:spacing w:after="0"/>
        <w:ind w:left="720" w:hanging="720"/>
      </w:pPr>
      <w:r w:rsidRPr="000D1228">
        <w:t>Sims, J., &amp; Sherwood, N. (2022). 1169 Identification and catch-up of incomplete childhood immunisations for looked after children at the initial health assessment. In: BMJ Publishing Group Ltd.</w:t>
      </w:r>
    </w:p>
    <w:p w14:paraId="1FE1A2B2" w14:textId="77777777" w:rsidR="000D1228" w:rsidRPr="000D1228" w:rsidRDefault="000D1228" w:rsidP="000D1228">
      <w:pPr>
        <w:pStyle w:val="EndNoteBibliography"/>
        <w:spacing w:after="0"/>
        <w:ind w:left="720" w:hanging="720"/>
      </w:pPr>
      <w:r w:rsidRPr="000D1228">
        <w:t xml:space="preserve">Stephenson, J., Vogel, C., Hall, J., Hutchinson, J., Mann, S., Duncan, H., . . . Cade, J. (2019). Preconception health in England: a proposal for annual reporting with core metrics. </w:t>
      </w:r>
      <w:r w:rsidRPr="000D1228">
        <w:rPr>
          <w:i/>
        </w:rPr>
        <w:t>The Lancet, 393</w:t>
      </w:r>
      <w:r w:rsidRPr="000D1228">
        <w:t xml:space="preserve">(10187), 2262-2271. </w:t>
      </w:r>
    </w:p>
    <w:p w14:paraId="41E0BF00" w14:textId="77777777" w:rsidR="000D1228" w:rsidRPr="000D1228" w:rsidRDefault="000D1228" w:rsidP="000D1228">
      <w:pPr>
        <w:pStyle w:val="EndNoteBibliography"/>
        <w:spacing w:after="0"/>
        <w:ind w:left="720" w:hanging="720"/>
      </w:pPr>
      <w:r w:rsidRPr="000D1228">
        <w:t xml:space="preserve">Sweeting, M. J., Marshall, J., Glover, M., Nasim, A., &amp; Bown, M. J. (2021). Evaluating the cost-effectiveness of changes to the surveillance intervals in the uk abdominal aortic aneurysm screening programme. </w:t>
      </w:r>
      <w:r w:rsidRPr="000D1228">
        <w:rPr>
          <w:i/>
        </w:rPr>
        <w:t>Value in Health, 24</w:t>
      </w:r>
      <w:r w:rsidRPr="000D1228">
        <w:t xml:space="preserve">(3), 369-376. </w:t>
      </w:r>
    </w:p>
    <w:p w14:paraId="33C0C6ED" w14:textId="77777777" w:rsidR="000D1228" w:rsidRPr="000D1228" w:rsidRDefault="000D1228" w:rsidP="000D1228">
      <w:pPr>
        <w:pStyle w:val="EndNoteBibliography"/>
        <w:spacing w:after="0"/>
        <w:ind w:left="720" w:hanging="720"/>
      </w:pPr>
      <w:r w:rsidRPr="000D1228">
        <w:t xml:space="preserve">Sykes, K., Tuschick, E., Giles, E. L., Kanmodi, K. K., &amp; Barker, J. (2022). A protocol to identify the barriers and facilitators for people with severe mental illness and/or learning disabilities for PErson Centred Cancer Screening Services (PECCS). </w:t>
      </w:r>
      <w:r w:rsidRPr="000D1228">
        <w:rPr>
          <w:i/>
        </w:rPr>
        <w:t>PLOS ONE, 17</w:t>
      </w:r>
      <w:r w:rsidRPr="000D1228">
        <w:t xml:space="preserve">(11), e0278238. </w:t>
      </w:r>
    </w:p>
    <w:p w14:paraId="54657289" w14:textId="6C2AFF79" w:rsidR="000D1228" w:rsidRPr="000D1228" w:rsidRDefault="000D1228" w:rsidP="000D1228">
      <w:pPr>
        <w:pStyle w:val="EndNoteBibliography"/>
        <w:spacing w:after="0"/>
        <w:ind w:left="720" w:hanging="720"/>
      </w:pPr>
      <w:r w:rsidRPr="000D1228">
        <w:t xml:space="preserve">Tees Sexual Health Commissioners. (2020). Sexual Health Needs Assessment Teesside. Retrieved from </w:t>
      </w:r>
      <w:hyperlink r:id="rId10" w:history="1">
        <w:r w:rsidRPr="000D1228">
          <w:rPr>
            <w:rStyle w:val="Hyperlink"/>
          </w:rPr>
          <w:t>https://www.redcar-cleveland.gov.uk/sites/default/files/2022-05/Sexual%20Health%20JSNA.pdf</w:t>
        </w:r>
      </w:hyperlink>
    </w:p>
    <w:p w14:paraId="02263DDF" w14:textId="77777777" w:rsidR="000D1228" w:rsidRPr="000D1228" w:rsidRDefault="000D1228" w:rsidP="000D1228">
      <w:pPr>
        <w:pStyle w:val="EndNoteBibliography"/>
        <w:ind w:left="720" w:hanging="720"/>
      </w:pPr>
      <w:r w:rsidRPr="000D1228">
        <w:t xml:space="preserve">Viner, R. M., Russell, S. J., Croker, H., Packer, J., Ward, J., Stansfield, C., . . . Booy, R. (2020). School closure and management practices during coronavirus outbreaks including COVID-19: a rapid systematic review. </w:t>
      </w:r>
      <w:r w:rsidRPr="000D1228">
        <w:rPr>
          <w:i/>
        </w:rPr>
        <w:t>The Lancet Child &amp; Adolescent Health, 4</w:t>
      </w:r>
      <w:r w:rsidRPr="000D1228">
        <w:t xml:space="preserve">(5), 397-404. </w:t>
      </w:r>
    </w:p>
    <w:p w14:paraId="50B9DD70" w14:textId="1EBD0E2A" w:rsidR="00D61F26" w:rsidRPr="00EC6C09" w:rsidRDefault="00BA051B" w:rsidP="00D61F26">
      <w:pPr>
        <w:pStyle w:val="ListParagraph"/>
        <w:rPr>
          <w:rFonts w:cstheme="minorHAnsi"/>
          <w:sz w:val="24"/>
          <w:szCs w:val="24"/>
          <w:lang w:eastAsia="en-GB"/>
        </w:rPr>
      </w:pPr>
      <w:r>
        <w:rPr>
          <w:rFonts w:cstheme="minorHAnsi"/>
          <w:sz w:val="24"/>
          <w:szCs w:val="24"/>
          <w:lang w:eastAsia="en-GB"/>
        </w:rPr>
        <w:fldChar w:fldCharType="end"/>
      </w:r>
    </w:p>
    <w:sectPr w:rsidR="00D61F26" w:rsidRPr="00EC6C0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39EA3D" w14:textId="77777777" w:rsidR="002B2550" w:rsidRDefault="002B2550" w:rsidP="006F144C">
      <w:pPr>
        <w:spacing w:after="0" w:line="240" w:lineRule="auto"/>
      </w:pPr>
      <w:r>
        <w:separator/>
      </w:r>
    </w:p>
  </w:endnote>
  <w:endnote w:type="continuationSeparator" w:id="0">
    <w:p w14:paraId="654F64CF" w14:textId="77777777" w:rsidR="002B2550" w:rsidRDefault="002B2550" w:rsidP="006F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D695B" w14:textId="77777777" w:rsidR="002B2550" w:rsidRDefault="002B2550" w:rsidP="006F144C">
      <w:pPr>
        <w:spacing w:after="0" w:line="240" w:lineRule="auto"/>
      </w:pPr>
      <w:r>
        <w:separator/>
      </w:r>
    </w:p>
  </w:footnote>
  <w:footnote w:type="continuationSeparator" w:id="0">
    <w:p w14:paraId="7A6E4BDB" w14:textId="77777777" w:rsidR="002B2550" w:rsidRDefault="002B2550" w:rsidP="006F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24683" w14:textId="5194DCCF" w:rsidR="006F144C" w:rsidRDefault="00103BE7">
    <w:pPr>
      <w:pStyle w:val="Header"/>
    </w:pPr>
    <w:r>
      <w:rPr>
        <w:noProof/>
        <w:lang w:eastAsia="en-GB"/>
      </w:rPr>
      <w:drawing>
        <wp:anchor distT="0" distB="0" distL="114300" distR="114300" simplePos="0" relativeHeight="251657216" behindDoc="0" locked="0" layoutInCell="1" allowOverlap="1" wp14:anchorId="56E7CEDC" wp14:editId="71419523">
          <wp:simplePos x="0" y="0"/>
          <wp:positionH relativeFrom="margin">
            <wp:posOffset>-614680</wp:posOffset>
          </wp:positionH>
          <wp:positionV relativeFrom="paragraph">
            <wp:posOffset>-389255</wp:posOffset>
          </wp:positionV>
          <wp:extent cx="7150100" cy="819150"/>
          <wp:effectExtent l="0" t="0" r="0" b="0"/>
          <wp:wrapSquare wrapText="bothSides"/>
          <wp:docPr id="722364826" name="Picture 72236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45597" name="Picture 1671645597"/>
                  <pic:cNvPicPr/>
                </pic:nvPicPr>
                <pic:blipFill>
                  <a:blip r:embed="rId1">
                    <a:extLst>
                      <a:ext uri="{28A0092B-C50C-407E-A947-70E740481C1C}">
                        <a14:useLocalDpi xmlns:a14="http://schemas.microsoft.com/office/drawing/2010/main" val="0"/>
                      </a:ext>
                    </a:extLst>
                  </a:blip>
                  <a:stretch>
                    <a:fillRect/>
                  </a:stretch>
                </pic:blipFill>
                <pic:spPr>
                  <a:xfrm>
                    <a:off x="0" y="0"/>
                    <a:ext cx="7150100" cy="819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8FD4B"/>
    <w:multiLevelType w:val="hybridMultilevel"/>
    <w:tmpl w:val="59CC3BAE"/>
    <w:lvl w:ilvl="0" w:tplc="E75654C2">
      <w:start w:val="1"/>
      <w:numFmt w:val="bullet"/>
      <w:lvlText w:val=""/>
      <w:lvlJc w:val="left"/>
      <w:pPr>
        <w:ind w:left="720" w:hanging="360"/>
      </w:pPr>
      <w:rPr>
        <w:rFonts w:ascii="Wingdings" w:hAnsi="Wingdings" w:hint="default"/>
      </w:rPr>
    </w:lvl>
    <w:lvl w:ilvl="1" w:tplc="1C36B556">
      <w:start w:val="1"/>
      <w:numFmt w:val="bullet"/>
      <w:lvlText w:val="o"/>
      <w:lvlJc w:val="left"/>
      <w:pPr>
        <w:ind w:left="1440" w:hanging="360"/>
      </w:pPr>
      <w:rPr>
        <w:rFonts w:ascii="Courier New" w:hAnsi="Courier New" w:hint="default"/>
      </w:rPr>
    </w:lvl>
    <w:lvl w:ilvl="2" w:tplc="5CDE1EDC">
      <w:start w:val="1"/>
      <w:numFmt w:val="bullet"/>
      <w:lvlText w:val=""/>
      <w:lvlJc w:val="left"/>
      <w:pPr>
        <w:ind w:left="2160" w:hanging="360"/>
      </w:pPr>
      <w:rPr>
        <w:rFonts w:ascii="Wingdings" w:hAnsi="Wingdings" w:hint="default"/>
      </w:rPr>
    </w:lvl>
    <w:lvl w:ilvl="3" w:tplc="327891BE">
      <w:start w:val="1"/>
      <w:numFmt w:val="bullet"/>
      <w:lvlText w:val=""/>
      <w:lvlJc w:val="left"/>
      <w:pPr>
        <w:ind w:left="2880" w:hanging="360"/>
      </w:pPr>
      <w:rPr>
        <w:rFonts w:ascii="Symbol" w:hAnsi="Symbol" w:hint="default"/>
      </w:rPr>
    </w:lvl>
    <w:lvl w:ilvl="4" w:tplc="B7AA63DC">
      <w:start w:val="1"/>
      <w:numFmt w:val="bullet"/>
      <w:lvlText w:val="o"/>
      <w:lvlJc w:val="left"/>
      <w:pPr>
        <w:ind w:left="3600" w:hanging="360"/>
      </w:pPr>
      <w:rPr>
        <w:rFonts w:ascii="Courier New" w:hAnsi="Courier New" w:hint="default"/>
      </w:rPr>
    </w:lvl>
    <w:lvl w:ilvl="5" w:tplc="528C4F7E">
      <w:start w:val="1"/>
      <w:numFmt w:val="bullet"/>
      <w:lvlText w:val=""/>
      <w:lvlJc w:val="left"/>
      <w:pPr>
        <w:ind w:left="4320" w:hanging="360"/>
      </w:pPr>
      <w:rPr>
        <w:rFonts w:ascii="Wingdings" w:hAnsi="Wingdings" w:hint="default"/>
      </w:rPr>
    </w:lvl>
    <w:lvl w:ilvl="6" w:tplc="0B0C5016">
      <w:start w:val="1"/>
      <w:numFmt w:val="bullet"/>
      <w:lvlText w:val=""/>
      <w:lvlJc w:val="left"/>
      <w:pPr>
        <w:ind w:left="5040" w:hanging="360"/>
      </w:pPr>
      <w:rPr>
        <w:rFonts w:ascii="Symbol" w:hAnsi="Symbol" w:hint="default"/>
      </w:rPr>
    </w:lvl>
    <w:lvl w:ilvl="7" w:tplc="CD0C0150">
      <w:start w:val="1"/>
      <w:numFmt w:val="bullet"/>
      <w:lvlText w:val="o"/>
      <w:lvlJc w:val="left"/>
      <w:pPr>
        <w:ind w:left="5760" w:hanging="360"/>
      </w:pPr>
      <w:rPr>
        <w:rFonts w:ascii="Courier New" w:hAnsi="Courier New" w:hint="default"/>
      </w:rPr>
    </w:lvl>
    <w:lvl w:ilvl="8" w:tplc="A2A8A43C">
      <w:start w:val="1"/>
      <w:numFmt w:val="bullet"/>
      <w:lvlText w:val=""/>
      <w:lvlJc w:val="left"/>
      <w:pPr>
        <w:ind w:left="6480" w:hanging="360"/>
      </w:pPr>
      <w:rPr>
        <w:rFonts w:ascii="Wingdings" w:hAnsi="Wingdings" w:hint="default"/>
      </w:rPr>
    </w:lvl>
  </w:abstractNum>
  <w:abstractNum w:abstractNumId="1" w15:restartNumberingAfterBreak="0">
    <w:nsid w:val="0DBA1001"/>
    <w:multiLevelType w:val="hybridMultilevel"/>
    <w:tmpl w:val="9C888CDC"/>
    <w:lvl w:ilvl="0" w:tplc="3C74B944">
      <w:start w:val="1"/>
      <w:numFmt w:val="bullet"/>
      <w:lvlText w:val=""/>
      <w:lvlJc w:val="left"/>
      <w:pPr>
        <w:ind w:left="720" w:hanging="360"/>
      </w:pPr>
      <w:rPr>
        <w:rFonts w:ascii="Symbol" w:hAnsi="Symbol" w:hint="default"/>
      </w:rPr>
    </w:lvl>
    <w:lvl w:ilvl="1" w:tplc="EA7660AA">
      <w:start w:val="1"/>
      <w:numFmt w:val="bullet"/>
      <w:lvlText w:val="o"/>
      <w:lvlJc w:val="left"/>
      <w:pPr>
        <w:ind w:left="1440" w:hanging="360"/>
      </w:pPr>
      <w:rPr>
        <w:rFonts w:ascii="Courier New" w:hAnsi="Courier New" w:hint="default"/>
      </w:rPr>
    </w:lvl>
    <w:lvl w:ilvl="2" w:tplc="D72683D0">
      <w:start w:val="1"/>
      <w:numFmt w:val="bullet"/>
      <w:lvlText w:val=""/>
      <w:lvlJc w:val="left"/>
      <w:pPr>
        <w:ind w:left="2160" w:hanging="360"/>
      </w:pPr>
      <w:rPr>
        <w:rFonts w:ascii="Wingdings" w:hAnsi="Wingdings" w:hint="default"/>
      </w:rPr>
    </w:lvl>
    <w:lvl w:ilvl="3" w:tplc="45D2EBE2">
      <w:start w:val="1"/>
      <w:numFmt w:val="bullet"/>
      <w:lvlText w:val=""/>
      <w:lvlJc w:val="left"/>
      <w:pPr>
        <w:ind w:left="2880" w:hanging="360"/>
      </w:pPr>
      <w:rPr>
        <w:rFonts w:ascii="Symbol" w:hAnsi="Symbol" w:hint="default"/>
      </w:rPr>
    </w:lvl>
    <w:lvl w:ilvl="4" w:tplc="CDE4327E">
      <w:start w:val="1"/>
      <w:numFmt w:val="bullet"/>
      <w:lvlText w:val="o"/>
      <w:lvlJc w:val="left"/>
      <w:pPr>
        <w:ind w:left="3600" w:hanging="360"/>
      </w:pPr>
      <w:rPr>
        <w:rFonts w:ascii="Courier New" w:hAnsi="Courier New" w:hint="default"/>
      </w:rPr>
    </w:lvl>
    <w:lvl w:ilvl="5" w:tplc="698ECFBC">
      <w:start w:val="1"/>
      <w:numFmt w:val="bullet"/>
      <w:lvlText w:val=""/>
      <w:lvlJc w:val="left"/>
      <w:pPr>
        <w:ind w:left="4320" w:hanging="360"/>
      </w:pPr>
      <w:rPr>
        <w:rFonts w:ascii="Wingdings" w:hAnsi="Wingdings" w:hint="default"/>
      </w:rPr>
    </w:lvl>
    <w:lvl w:ilvl="6" w:tplc="138AD984">
      <w:start w:val="1"/>
      <w:numFmt w:val="bullet"/>
      <w:lvlText w:val=""/>
      <w:lvlJc w:val="left"/>
      <w:pPr>
        <w:ind w:left="5040" w:hanging="360"/>
      </w:pPr>
      <w:rPr>
        <w:rFonts w:ascii="Symbol" w:hAnsi="Symbol" w:hint="default"/>
      </w:rPr>
    </w:lvl>
    <w:lvl w:ilvl="7" w:tplc="45D46538">
      <w:start w:val="1"/>
      <w:numFmt w:val="bullet"/>
      <w:lvlText w:val="o"/>
      <w:lvlJc w:val="left"/>
      <w:pPr>
        <w:ind w:left="5760" w:hanging="360"/>
      </w:pPr>
      <w:rPr>
        <w:rFonts w:ascii="Courier New" w:hAnsi="Courier New" w:hint="default"/>
      </w:rPr>
    </w:lvl>
    <w:lvl w:ilvl="8" w:tplc="8F6EF9F8">
      <w:start w:val="1"/>
      <w:numFmt w:val="bullet"/>
      <w:lvlText w:val=""/>
      <w:lvlJc w:val="left"/>
      <w:pPr>
        <w:ind w:left="6480" w:hanging="360"/>
      </w:pPr>
      <w:rPr>
        <w:rFonts w:ascii="Wingdings" w:hAnsi="Wingdings" w:hint="default"/>
      </w:rPr>
    </w:lvl>
  </w:abstractNum>
  <w:abstractNum w:abstractNumId="2" w15:restartNumberingAfterBreak="0">
    <w:nsid w:val="0FC36B86"/>
    <w:multiLevelType w:val="hybridMultilevel"/>
    <w:tmpl w:val="5DF890D4"/>
    <w:lvl w:ilvl="0" w:tplc="81F4D7A0">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10EA13B8"/>
    <w:multiLevelType w:val="hybridMultilevel"/>
    <w:tmpl w:val="6872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1182E"/>
    <w:multiLevelType w:val="hybridMultilevel"/>
    <w:tmpl w:val="AF6AFF08"/>
    <w:lvl w:ilvl="0" w:tplc="2948220E">
      <w:start w:val="1"/>
      <w:numFmt w:val="bullet"/>
      <w:lvlText w:val=""/>
      <w:lvlJc w:val="left"/>
      <w:pPr>
        <w:ind w:left="720" w:hanging="360"/>
      </w:pPr>
      <w:rPr>
        <w:rFonts w:ascii="Wingdings" w:hAnsi="Wingdings" w:hint="default"/>
      </w:rPr>
    </w:lvl>
    <w:lvl w:ilvl="1" w:tplc="C8BEC61C">
      <w:start w:val="1"/>
      <w:numFmt w:val="bullet"/>
      <w:lvlText w:val="o"/>
      <w:lvlJc w:val="left"/>
      <w:pPr>
        <w:ind w:left="1440" w:hanging="360"/>
      </w:pPr>
      <w:rPr>
        <w:rFonts w:ascii="Courier New" w:hAnsi="Courier New" w:hint="default"/>
      </w:rPr>
    </w:lvl>
    <w:lvl w:ilvl="2" w:tplc="A0C8976C">
      <w:start w:val="1"/>
      <w:numFmt w:val="bullet"/>
      <w:lvlText w:val=""/>
      <w:lvlJc w:val="left"/>
      <w:pPr>
        <w:ind w:left="2160" w:hanging="360"/>
      </w:pPr>
      <w:rPr>
        <w:rFonts w:ascii="Wingdings" w:hAnsi="Wingdings" w:hint="default"/>
      </w:rPr>
    </w:lvl>
    <w:lvl w:ilvl="3" w:tplc="A2FAE004">
      <w:start w:val="1"/>
      <w:numFmt w:val="bullet"/>
      <w:lvlText w:val=""/>
      <w:lvlJc w:val="left"/>
      <w:pPr>
        <w:ind w:left="2880" w:hanging="360"/>
      </w:pPr>
      <w:rPr>
        <w:rFonts w:ascii="Symbol" w:hAnsi="Symbol" w:hint="default"/>
      </w:rPr>
    </w:lvl>
    <w:lvl w:ilvl="4" w:tplc="8164376C">
      <w:start w:val="1"/>
      <w:numFmt w:val="bullet"/>
      <w:lvlText w:val="o"/>
      <w:lvlJc w:val="left"/>
      <w:pPr>
        <w:ind w:left="3600" w:hanging="360"/>
      </w:pPr>
      <w:rPr>
        <w:rFonts w:ascii="Courier New" w:hAnsi="Courier New" w:hint="default"/>
      </w:rPr>
    </w:lvl>
    <w:lvl w:ilvl="5" w:tplc="899800D2">
      <w:start w:val="1"/>
      <w:numFmt w:val="bullet"/>
      <w:lvlText w:val=""/>
      <w:lvlJc w:val="left"/>
      <w:pPr>
        <w:ind w:left="4320" w:hanging="360"/>
      </w:pPr>
      <w:rPr>
        <w:rFonts w:ascii="Wingdings" w:hAnsi="Wingdings" w:hint="default"/>
      </w:rPr>
    </w:lvl>
    <w:lvl w:ilvl="6" w:tplc="C94868A0">
      <w:start w:val="1"/>
      <w:numFmt w:val="bullet"/>
      <w:lvlText w:val=""/>
      <w:lvlJc w:val="left"/>
      <w:pPr>
        <w:ind w:left="5040" w:hanging="360"/>
      </w:pPr>
      <w:rPr>
        <w:rFonts w:ascii="Symbol" w:hAnsi="Symbol" w:hint="default"/>
      </w:rPr>
    </w:lvl>
    <w:lvl w:ilvl="7" w:tplc="61D4A05E">
      <w:start w:val="1"/>
      <w:numFmt w:val="bullet"/>
      <w:lvlText w:val="o"/>
      <w:lvlJc w:val="left"/>
      <w:pPr>
        <w:ind w:left="5760" w:hanging="360"/>
      </w:pPr>
      <w:rPr>
        <w:rFonts w:ascii="Courier New" w:hAnsi="Courier New" w:hint="default"/>
      </w:rPr>
    </w:lvl>
    <w:lvl w:ilvl="8" w:tplc="E80E28A8">
      <w:start w:val="1"/>
      <w:numFmt w:val="bullet"/>
      <w:lvlText w:val=""/>
      <w:lvlJc w:val="left"/>
      <w:pPr>
        <w:ind w:left="6480" w:hanging="360"/>
      </w:pPr>
      <w:rPr>
        <w:rFonts w:ascii="Wingdings" w:hAnsi="Wingdings" w:hint="default"/>
      </w:rPr>
    </w:lvl>
  </w:abstractNum>
  <w:abstractNum w:abstractNumId="5" w15:restartNumberingAfterBreak="0">
    <w:nsid w:val="14AB0CDC"/>
    <w:multiLevelType w:val="hybridMultilevel"/>
    <w:tmpl w:val="29EA53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B0A86"/>
    <w:multiLevelType w:val="hybridMultilevel"/>
    <w:tmpl w:val="E0FC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52BD3"/>
    <w:multiLevelType w:val="hybridMultilevel"/>
    <w:tmpl w:val="0DC2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8E611"/>
    <w:multiLevelType w:val="hybridMultilevel"/>
    <w:tmpl w:val="4B02E7EE"/>
    <w:lvl w:ilvl="0" w:tplc="34E6BCEC">
      <w:start w:val="1"/>
      <w:numFmt w:val="bullet"/>
      <w:lvlText w:val=""/>
      <w:lvlJc w:val="left"/>
      <w:pPr>
        <w:ind w:left="720" w:hanging="360"/>
      </w:pPr>
      <w:rPr>
        <w:rFonts w:ascii="Symbol" w:hAnsi="Symbol" w:hint="default"/>
      </w:rPr>
    </w:lvl>
    <w:lvl w:ilvl="1" w:tplc="5FF81678">
      <w:start w:val="1"/>
      <w:numFmt w:val="bullet"/>
      <w:lvlText w:val="o"/>
      <w:lvlJc w:val="left"/>
      <w:pPr>
        <w:ind w:left="1440" w:hanging="360"/>
      </w:pPr>
      <w:rPr>
        <w:rFonts w:ascii="Courier New" w:hAnsi="Courier New" w:hint="default"/>
      </w:rPr>
    </w:lvl>
    <w:lvl w:ilvl="2" w:tplc="58C0525C">
      <w:start w:val="1"/>
      <w:numFmt w:val="bullet"/>
      <w:lvlText w:val=""/>
      <w:lvlJc w:val="left"/>
      <w:pPr>
        <w:ind w:left="2160" w:hanging="360"/>
      </w:pPr>
      <w:rPr>
        <w:rFonts w:ascii="Wingdings" w:hAnsi="Wingdings" w:hint="default"/>
      </w:rPr>
    </w:lvl>
    <w:lvl w:ilvl="3" w:tplc="29E8322E">
      <w:start w:val="1"/>
      <w:numFmt w:val="bullet"/>
      <w:lvlText w:val=""/>
      <w:lvlJc w:val="left"/>
      <w:pPr>
        <w:ind w:left="2880" w:hanging="360"/>
      </w:pPr>
      <w:rPr>
        <w:rFonts w:ascii="Symbol" w:hAnsi="Symbol" w:hint="default"/>
      </w:rPr>
    </w:lvl>
    <w:lvl w:ilvl="4" w:tplc="7FF67E1C">
      <w:start w:val="1"/>
      <w:numFmt w:val="bullet"/>
      <w:lvlText w:val="o"/>
      <w:lvlJc w:val="left"/>
      <w:pPr>
        <w:ind w:left="3600" w:hanging="360"/>
      </w:pPr>
      <w:rPr>
        <w:rFonts w:ascii="Courier New" w:hAnsi="Courier New" w:hint="default"/>
      </w:rPr>
    </w:lvl>
    <w:lvl w:ilvl="5" w:tplc="70AE5896">
      <w:start w:val="1"/>
      <w:numFmt w:val="bullet"/>
      <w:lvlText w:val=""/>
      <w:lvlJc w:val="left"/>
      <w:pPr>
        <w:ind w:left="4320" w:hanging="360"/>
      </w:pPr>
      <w:rPr>
        <w:rFonts w:ascii="Wingdings" w:hAnsi="Wingdings" w:hint="default"/>
      </w:rPr>
    </w:lvl>
    <w:lvl w:ilvl="6" w:tplc="D9424F5E">
      <w:start w:val="1"/>
      <w:numFmt w:val="bullet"/>
      <w:lvlText w:val=""/>
      <w:lvlJc w:val="left"/>
      <w:pPr>
        <w:ind w:left="5040" w:hanging="360"/>
      </w:pPr>
      <w:rPr>
        <w:rFonts w:ascii="Symbol" w:hAnsi="Symbol" w:hint="default"/>
      </w:rPr>
    </w:lvl>
    <w:lvl w:ilvl="7" w:tplc="5366E5AA">
      <w:start w:val="1"/>
      <w:numFmt w:val="bullet"/>
      <w:lvlText w:val="o"/>
      <w:lvlJc w:val="left"/>
      <w:pPr>
        <w:ind w:left="5760" w:hanging="360"/>
      </w:pPr>
      <w:rPr>
        <w:rFonts w:ascii="Courier New" w:hAnsi="Courier New" w:hint="default"/>
      </w:rPr>
    </w:lvl>
    <w:lvl w:ilvl="8" w:tplc="2CB44B62">
      <w:start w:val="1"/>
      <w:numFmt w:val="bullet"/>
      <w:lvlText w:val=""/>
      <w:lvlJc w:val="left"/>
      <w:pPr>
        <w:ind w:left="6480" w:hanging="360"/>
      </w:pPr>
      <w:rPr>
        <w:rFonts w:ascii="Wingdings" w:hAnsi="Wingdings" w:hint="default"/>
      </w:rPr>
    </w:lvl>
  </w:abstractNum>
  <w:abstractNum w:abstractNumId="9" w15:restartNumberingAfterBreak="0">
    <w:nsid w:val="22CE703F"/>
    <w:multiLevelType w:val="hybridMultilevel"/>
    <w:tmpl w:val="50E82A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671A3"/>
    <w:multiLevelType w:val="hybridMultilevel"/>
    <w:tmpl w:val="993C0E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369A4"/>
    <w:multiLevelType w:val="hybridMultilevel"/>
    <w:tmpl w:val="EC865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757949"/>
    <w:multiLevelType w:val="hybridMultilevel"/>
    <w:tmpl w:val="88E64738"/>
    <w:lvl w:ilvl="0" w:tplc="294822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05E4DC"/>
    <w:multiLevelType w:val="hybridMultilevel"/>
    <w:tmpl w:val="E9948B00"/>
    <w:lvl w:ilvl="0" w:tplc="EE92168A">
      <w:start w:val="1"/>
      <w:numFmt w:val="bullet"/>
      <w:lvlText w:val=""/>
      <w:lvlJc w:val="left"/>
      <w:pPr>
        <w:ind w:left="720" w:hanging="360"/>
      </w:pPr>
      <w:rPr>
        <w:rFonts w:ascii="Symbol" w:hAnsi="Symbol" w:hint="default"/>
      </w:rPr>
    </w:lvl>
    <w:lvl w:ilvl="1" w:tplc="104C9978">
      <w:start w:val="1"/>
      <w:numFmt w:val="bullet"/>
      <w:lvlText w:val="o"/>
      <w:lvlJc w:val="left"/>
      <w:pPr>
        <w:ind w:left="1440" w:hanging="360"/>
      </w:pPr>
      <w:rPr>
        <w:rFonts w:ascii="Courier New" w:hAnsi="Courier New" w:hint="default"/>
      </w:rPr>
    </w:lvl>
    <w:lvl w:ilvl="2" w:tplc="18CA50C4">
      <w:start w:val="1"/>
      <w:numFmt w:val="bullet"/>
      <w:lvlText w:val=""/>
      <w:lvlJc w:val="left"/>
      <w:pPr>
        <w:ind w:left="2160" w:hanging="360"/>
      </w:pPr>
      <w:rPr>
        <w:rFonts w:ascii="Wingdings" w:hAnsi="Wingdings" w:hint="default"/>
      </w:rPr>
    </w:lvl>
    <w:lvl w:ilvl="3" w:tplc="EDD22D1E">
      <w:start w:val="1"/>
      <w:numFmt w:val="bullet"/>
      <w:lvlText w:val=""/>
      <w:lvlJc w:val="left"/>
      <w:pPr>
        <w:ind w:left="2880" w:hanging="360"/>
      </w:pPr>
      <w:rPr>
        <w:rFonts w:ascii="Symbol" w:hAnsi="Symbol" w:hint="default"/>
      </w:rPr>
    </w:lvl>
    <w:lvl w:ilvl="4" w:tplc="652479AE">
      <w:start w:val="1"/>
      <w:numFmt w:val="bullet"/>
      <w:lvlText w:val="o"/>
      <w:lvlJc w:val="left"/>
      <w:pPr>
        <w:ind w:left="3600" w:hanging="360"/>
      </w:pPr>
      <w:rPr>
        <w:rFonts w:ascii="Courier New" w:hAnsi="Courier New" w:hint="default"/>
      </w:rPr>
    </w:lvl>
    <w:lvl w:ilvl="5" w:tplc="7E90BE1E">
      <w:start w:val="1"/>
      <w:numFmt w:val="bullet"/>
      <w:lvlText w:val=""/>
      <w:lvlJc w:val="left"/>
      <w:pPr>
        <w:ind w:left="4320" w:hanging="360"/>
      </w:pPr>
      <w:rPr>
        <w:rFonts w:ascii="Wingdings" w:hAnsi="Wingdings" w:hint="default"/>
      </w:rPr>
    </w:lvl>
    <w:lvl w:ilvl="6" w:tplc="F4785228">
      <w:start w:val="1"/>
      <w:numFmt w:val="bullet"/>
      <w:lvlText w:val=""/>
      <w:lvlJc w:val="left"/>
      <w:pPr>
        <w:ind w:left="5040" w:hanging="360"/>
      </w:pPr>
      <w:rPr>
        <w:rFonts w:ascii="Symbol" w:hAnsi="Symbol" w:hint="default"/>
      </w:rPr>
    </w:lvl>
    <w:lvl w:ilvl="7" w:tplc="43068F8E">
      <w:start w:val="1"/>
      <w:numFmt w:val="bullet"/>
      <w:lvlText w:val="o"/>
      <w:lvlJc w:val="left"/>
      <w:pPr>
        <w:ind w:left="5760" w:hanging="360"/>
      </w:pPr>
      <w:rPr>
        <w:rFonts w:ascii="Courier New" w:hAnsi="Courier New" w:hint="default"/>
      </w:rPr>
    </w:lvl>
    <w:lvl w:ilvl="8" w:tplc="9FC6E284">
      <w:start w:val="1"/>
      <w:numFmt w:val="bullet"/>
      <w:lvlText w:val=""/>
      <w:lvlJc w:val="left"/>
      <w:pPr>
        <w:ind w:left="6480" w:hanging="360"/>
      </w:pPr>
      <w:rPr>
        <w:rFonts w:ascii="Wingdings" w:hAnsi="Wingdings" w:hint="default"/>
      </w:rPr>
    </w:lvl>
  </w:abstractNum>
  <w:abstractNum w:abstractNumId="14" w15:restartNumberingAfterBreak="0">
    <w:nsid w:val="2D752915"/>
    <w:multiLevelType w:val="hybridMultilevel"/>
    <w:tmpl w:val="7FE8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8B75C3"/>
    <w:multiLevelType w:val="hybridMultilevel"/>
    <w:tmpl w:val="36884C96"/>
    <w:lvl w:ilvl="0" w:tplc="294822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05FC6"/>
    <w:multiLevelType w:val="hybridMultilevel"/>
    <w:tmpl w:val="185007F4"/>
    <w:lvl w:ilvl="0" w:tplc="294822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A46C1E"/>
    <w:multiLevelType w:val="hybridMultilevel"/>
    <w:tmpl w:val="02C46534"/>
    <w:lvl w:ilvl="0" w:tplc="294822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BF7871"/>
    <w:multiLevelType w:val="hybridMultilevel"/>
    <w:tmpl w:val="D408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F44002"/>
    <w:multiLevelType w:val="hybridMultilevel"/>
    <w:tmpl w:val="B7DC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995B85"/>
    <w:multiLevelType w:val="hybridMultilevel"/>
    <w:tmpl w:val="0E2AC54A"/>
    <w:lvl w:ilvl="0" w:tplc="2948220E">
      <w:start w:val="1"/>
      <w:numFmt w:val="bullet"/>
      <w:lvlText w:val=""/>
      <w:lvlJc w:val="left"/>
      <w:pPr>
        <w:ind w:left="720" w:hanging="360"/>
      </w:pPr>
      <w:rPr>
        <w:rFonts w:ascii="Wingdings" w:hAnsi="Wingdings" w:hint="default"/>
      </w:rPr>
    </w:lvl>
    <w:lvl w:ilvl="1" w:tplc="E0FA7942">
      <w:start w:val="1"/>
      <w:numFmt w:val="bullet"/>
      <w:lvlText w:val="o"/>
      <w:lvlJc w:val="left"/>
      <w:pPr>
        <w:ind w:left="1440" w:hanging="360"/>
      </w:pPr>
      <w:rPr>
        <w:rFonts w:ascii="Courier New" w:hAnsi="Courier New" w:hint="default"/>
      </w:rPr>
    </w:lvl>
    <w:lvl w:ilvl="2" w:tplc="6C880422">
      <w:start w:val="1"/>
      <w:numFmt w:val="bullet"/>
      <w:lvlText w:val=""/>
      <w:lvlJc w:val="left"/>
      <w:pPr>
        <w:ind w:left="2160" w:hanging="360"/>
      </w:pPr>
      <w:rPr>
        <w:rFonts w:ascii="Wingdings" w:hAnsi="Wingdings" w:hint="default"/>
      </w:rPr>
    </w:lvl>
    <w:lvl w:ilvl="3" w:tplc="CEF40536">
      <w:start w:val="1"/>
      <w:numFmt w:val="bullet"/>
      <w:lvlText w:val=""/>
      <w:lvlJc w:val="left"/>
      <w:pPr>
        <w:ind w:left="2880" w:hanging="360"/>
      </w:pPr>
      <w:rPr>
        <w:rFonts w:ascii="Symbol" w:hAnsi="Symbol" w:hint="default"/>
      </w:rPr>
    </w:lvl>
    <w:lvl w:ilvl="4" w:tplc="3EF6B3C8">
      <w:start w:val="1"/>
      <w:numFmt w:val="bullet"/>
      <w:lvlText w:val="o"/>
      <w:lvlJc w:val="left"/>
      <w:pPr>
        <w:ind w:left="3600" w:hanging="360"/>
      </w:pPr>
      <w:rPr>
        <w:rFonts w:ascii="Courier New" w:hAnsi="Courier New" w:hint="default"/>
      </w:rPr>
    </w:lvl>
    <w:lvl w:ilvl="5" w:tplc="7FA690BA">
      <w:start w:val="1"/>
      <w:numFmt w:val="bullet"/>
      <w:lvlText w:val=""/>
      <w:lvlJc w:val="left"/>
      <w:pPr>
        <w:ind w:left="4320" w:hanging="360"/>
      </w:pPr>
      <w:rPr>
        <w:rFonts w:ascii="Wingdings" w:hAnsi="Wingdings" w:hint="default"/>
      </w:rPr>
    </w:lvl>
    <w:lvl w:ilvl="6" w:tplc="9A3447E0">
      <w:start w:val="1"/>
      <w:numFmt w:val="bullet"/>
      <w:lvlText w:val=""/>
      <w:lvlJc w:val="left"/>
      <w:pPr>
        <w:ind w:left="5040" w:hanging="360"/>
      </w:pPr>
      <w:rPr>
        <w:rFonts w:ascii="Symbol" w:hAnsi="Symbol" w:hint="default"/>
      </w:rPr>
    </w:lvl>
    <w:lvl w:ilvl="7" w:tplc="AE28B1AC">
      <w:start w:val="1"/>
      <w:numFmt w:val="bullet"/>
      <w:lvlText w:val="o"/>
      <w:lvlJc w:val="left"/>
      <w:pPr>
        <w:ind w:left="5760" w:hanging="360"/>
      </w:pPr>
      <w:rPr>
        <w:rFonts w:ascii="Courier New" w:hAnsi="Courier New" w:hint="default"/>
      </w:rPr>
    </w:lvl>
    <w:lvl w:ilvl="8" w:tplc="87FA202C">
      <w:start w:val="1"/>
      <w:numFmt w:val="bullet"/>
      <w:lvlText w:val=""/>
      <w:lvlJc w:val="left"/>
      <w:pPr>
        <w:ind w:left="6480" w:hanging="360"/>
      </w:pPr>
      <w:rPr>
        <w:rFonts w:ascii="Wingdings" w:hAnsi="Wingdings" w:hint="default"/>
      </w:rPr>
    </w:lvl>
  </w:abstractNum>
  <w:abstractNum w:abstractNumId="21" w15:restartNumberingAfterBreak="0">
    <w:nsid w:val="3ACE2357"/>
    <w:multiLevelType w:val="hybridMultilevel"/>
    <w:tmpl w:val="43B03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050F3E"/>
    <w:multiLevelType w:val="hybridMultilevel"/>
    <w:tmpl w:val="D988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28B22"/>
    <w:multiLevelType w:val="hybridMultilevel"/>
    <w:tmpl w:val="805855EC"/>
    <w:lvl w:ilvl="0" w:tplc="923C9452">
      <w:start w:val="1"/>
      <w:numFmt w:val="bullet"/>
      <w:lvlText w:val=""/>
      <w:lvlJc w:val="left"/>
      <w:pPr>
        <w:ind w:left="720" w:hanging="360"/>
      </w:pPr>
      <w:rPr>
        <w:rFonts w:ascii="Symbol" w:hAnsi="Symbol" w:hint="default"/>
      </w:rPr>
    </w:lvl>
    <w:lvl w:ilvl="1" w:tplc="73B66F78">
      <w:start w:val="1"/>
      <w:numFmt w:val="bullet"/>
      <w:lvlText w:val="o"/>
      <w:lvlJc w:val="left"/>
      <w:pPr>
        <w:ind w:left="1440" w:hanging="360"/>
      </w:pPr>
      <w:rPr>
        <w:rFonts w:ascii="Courier New" w:hAnsi="Courier New" w:hint="default"/>
      </w:rPr>
    </w:lvl>
    <w:lvl w:ilvl="2" w:tplc="F202FBFE">
      <w:start w:val="1"/>
      <w:numFmt w:val="bullet"/>
      <w:lvlText w:val=""/>
      <w:lvlJc w:val="left"/>
      <w:pPr>
        <w:ind w:left="2160" w:hanging="360"/>
      </w:pPr>
      <w:rPr>
        <w:rFonts w:ascii="Wingdings" w:hAnsi="Wingdings" w:hint="default"/>
      </w:rPr>
    </w:lvl>
    <w:lvl w:ilvl="3" w:tplc="F33E345E">
      <w:start w:val="1"/>
      <w:numFmt w:val="bullet"/>
      <w:lvlText w:val=""/>
      <w:lvlJc w:val="left"/>
      <w:pPr>
        <w:ind w:left="2880" w:hanging="360"/>
      </w:pPr>
      <w:rPr>
        <w:rFonts w:ascii="Symbol" w:hAnsi="Symbol" w:hint="default"/>
      </w:rPr>
    </w:lvl>
    <w:lvl w:ilvl="4" w:tplc="629A2560">
      <w:start w:val="1"/>
      <w:numFmt w:val="bullet"/>
      <w:lvlText w:val="o"/>
      <w:lvlJc w:val="left"/>
      <w:pPr>
        <w:ind w:left="3600" w:hanging="360"/>
      </w:pPr>
      <w:rPr>
        <w:rFonts w:ascii="Courier New" w:hAnsi="Courier New" w:hint="default"/>
      </w:rPr>
    </w:lvl>
    <w:lvl w:ilvl="5" w:tplc="5EA0813E">
      <w:start w:val="1"/>
      <w:numFmt w:val="bullet"/>
      <w:lvlText w:val=""/>
      <w:lvlJc w:val="left"/>
      <w:pPr>
        <w:ind w:left="4320" w:hanging="360"/>
      </w:pPr>
      <w:rPr>
        <w:rFonts w:ascii="Wingdings" w:hAnsi="Wingdings" w:hint="default"/>
      </w:rPr>
    </w:lvl>
    <w:lvl w:ilvl="6" w:tplc="BC6E730C">
      <w:start w:val="1"/>
      <w:numFmt w:val="bullet"/>
      <w:lvlText w:val=""/>
      <w:lvlJc w:val="left"/>
      <w:pPr>
        <w:ind w:left="5040" w:hanging="360"/>
      </w:pPr>
      <w:rPr>
        <w:rFonts w:ascii="Symbol" w:hAnsi="Symbol" w:hint="default"/>
      </w:rPr>
    </w:lvl>
    <w:lvl w:ilvl="7" w:tplc="F1F6287A">
      <w:start w:val="1"/>
      <w:numFmt w:val="bullet"/>
      <w:lvlText w:val="o"/>
      <w:lvlJc w:val="left"/>
      <w:pPr>
        <w:ind w:left="5760" w:hanging="360"/>
      </w:pPr>
      <w:rPr>
        <w:rFonts w:ascii="Courier New" w:hAnsi="Courier New" w:hint="default"/>
      </w:rPr>
    </w:lvl>
    <w:lvl w:ilvl="8" w:tplc="191C8DC4">
      <w:start w:val="1"/>
      <w:numFmt w:val="bullet"/>
      <w:lvlText w:val=""/>
      <w:lvlJc w:val="left"/>
      <w:pPr>
        <w:ind w:left="6480" w:hanging="360"/>
      </w:pPr>
      <w:rPr>
        <w:rFonts w:ascii="Wingdings" w:hAnsi="Wingdings" w:hint="default"/>
      </w:rPr>
    </w:lvl>
  </w:abstractNum>
  <w:abstractNum w:abstractNumId="24" w15:restartNumberingAfterBreak="0">
    <w:nsid w:val="45BA3654"/>
    <w:multiLevelType w:val="hybridMultilevel"/>
    <w:tmpl w:val="C8446F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552E60"/>
    <w:multiLevelType w:val="hybridMultilevel"/>
    <w:tmpl w:val="3618B768"/>
    <w:lvl w:ilvl="0" w:tplc="294822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C190FBE"/>
    <w:multiLevelType w:val="hybridMultilevel"/>
    <w:tmpl w:val="1FE2679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AC18BF"/>
    <w:multiLevelType w:val="hybridMultilevel"/>
    <w:tmpl w:val="07221ADE"/>
    <w:lvl w:ilvl="0" w:tplc="294822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33DB5B6"/>
    <w:multiLevelType w:val="hybridMultilevel"/>
    <w:tmpl w:val="41327324"/>
    <w:lvl w:ilvl="0" w:tplc="CE286254">
      <w:start w:val="1"/>
      <w:numFmt w:val="bullet"/>
      <w:lvlText w:val=""/>
      <w:lvlJc w:val="left"/>
      <w:pPr>
        <w:ind w:left="720" w:hanging="360"/>
      </w:pPr>
      <w:rPr>
        <w:rFonts w:ascii="Wingdings" w:hAnsi="Wingdings" w:hint="default"/>
      </w:rPr>
    </w:lvl>
    <w:lvl w:ilvl="1" w:tplc="99280746">
      <w:start w:val="1"/>
      <w:numFmt w:val="bullet"/>
      <w:lvlText w:val="o"/>
      <w:lvlJc w:val="left"/>
      <w:pPr>
        <w:ind w:left="1440" w:hanging="360"/>
      </w:pPr>
      <w:rPr>
        <w:rFonts w:ascii="Courier New" w:hAnsi="Courier New" w:hint="default"/>
      </w:rPr>
    </w:lvl>
    <w:lvl w:ilvl="2" w:tplc="65D89250">
      <w:start w:val="1"/>
      <w:numFmt w:val="bullet"/>
      <w:lvlText w:val=""/>
      <w:lvlJc w:val="left"/>
      <w:pPr>
        <w:ind w:left="2160" w:hanging="360"/>
      </w:pPr>
      <w:rPr>
        <w:rFonts w:ascii="Wingdings" w:hAnsi="Wingdings" w:hint="default"/>
      </w:rPr>
    </w:lvl>
    <w:lvl w:ilvl="3" w:tplc="9788D2A0">
      <w:start w:val="1"/>
      <w:numFmt w:val="bullet"/>
      <w:lvlText w:val=""/>
      <w:lvlJc w:val="left"/>
      <w:pPr>
        <w:ind w:left="2880" w:hanging="360"/>
      </w:pPr>
      <w:rPr>
        <w:rFonts w:ascii="Symbol" w:hAnsi="Symbol" w:hint="default"/>
      </w:rPr>
    </w:lvl>
    <w:lvl w:ilvl="4" w:tplc="CF9661F6">
      <w:start w:val="1"/>
      <w:numFmt w:val="bullet"/>
      <w:lvlText w:val="o"/>
      <w:lvlJc w:val="left"/>
      <w:pPr>
        <w:ind w:left="3600" w:hanging="360"/>
      </w:pPr>
      <w:rPr>
        <w:rFonts w:ascii="Courier New" w:hAnsi="Courier New" w:hint="default"/>
      </w:rPr>
    </w:lvl>
    <w:lvl w:ilvl="5" w:tplc="7A4C512C">
      <w:start w:val="1"/>
      <w:numFmt w:val="bullet"/>
      <w:lvlText w:val=""/>
      <w:lvlJc w:val="left"/>
      <w:pPr>
        <w:ind w:left="4320" w:hanging="360"/>
      </w:pPr>
      <w:rPr>
        <w:rFonts w:ascii="Wingdings" w:hAnsi="Wingdings" w:hint="default"/>
      </w:rPr>
    </w:lvl>
    <w:lvl w:ilvl="6" w:tplc="8F96D086">
      <w:start w:val="1"/>
      <w:numFmt w:val="bullet"/>
      <w:lvlText w:val=""/>
      <w:lvlJc w:val="left"/>
      <w:pPr>
        <w:ind w:left="5040" w:hanging="360"/>
      </w:pPr>
      <w:rPr>
        <w:rFonts w:ascii="Symbol" w:hAnsi="Symbol" w:hint="default"/>
      </w:rPr>
    </w:lvl>
    <w:lvl w:ilvl="7" w:tplc="6004D918">
      <w:start w:val="1"/>
      <w:numFmt w:val="bullet"/>
      <w:lvlText w:val="o"/>
      <w:lvlJc w:val="left"/>
      <w:pPr>
        <w:ind w:left="5760" w:hanging="360"/>
      </w:pPr>
      <w:rPr>
        <w:rFonts w:ascii="Courier New" w:hAnsi="Courier New" w:hint="default"/>
      </w:rPr>
    </w:lvl>
    <w:lvl w:ilvl="8" w:tplc="2E3CFD9C">
      <w:start w:val="1"/>
      <w:numFmt w:val="bullet"/>
      <w:lvlText w:val=""/>
      <w:lvlJc w:val="left"/>
      <w:pPr>
        <w:ind w:left="6480" w:hanging="360"/>
      </w:pPr>
      <w:rPr>
        <w:rFonts w:ascii="Wingdings" w:hAnsi="Wingdings" w:hint="default"/>
      </w:rPr>
    </w:lvl>
  </w:abstractNum>
  <w:abstractNum w:abstractNumId="29" w15:restartNumberingAfterBreak="0">
    <w:nsid w:val="54592DCE"/>
    <w:multiLevelType w:val="hybridMultilevel"/>
    <w:tmpl w:val="EB304514"/>
    <w:lvl w:ilvl="0" w:tplc="6FF8FE74">
      <w:start w:val="1"/>
      <w:numFmt w:val="bullet"/>
      <w:lvlText w:val=""/>
      <w:lvlJc w:val="left"/>
      <w:pPr>
        <w:ind w:left="720" w:hanging="360"/>
      </w:pPr>
      <w:rPr>
        <w:rFonts w:ascii="Symbol" w:hAnsi="Symbol" w:hint="default"/>
      </w:rPr>
    </w:lvl>
    <w:lvl w:ilvl="1" w:tplc="64184668">
      <w:start w:val="1"/>
      <w:numFmt w:val="bullet"/>
      <w:lvlText w:val="o"/>
      <w:lvlJc w:val="left"/>
      <w:pPr>
        <w:ind w:left="1440" w:hanging="360"/>
      </w:pPr>
      <w:rPr>
        <w:rFonts w:ascii="Courier New" w:hAnsi="Courier New" w:hint="default"/>
      </w:rPr>
    </w:lvl>
    <w:lvl w:ilvl="2" w:tplc="79ECE9C4">
      <w:start w:val="1"/>
      <w:numFmt w:val="bullet"/>
      <w:lvlText w:val=""/>
      <w:lvlJc w:val="left"/>
      <w:pPr>
        <w:ind w:left="2160" w:hanging="360"/>
      </w:pPr>
      <w:rPr>
        <w:rFonts w:ascii="Wingdings" w:hAnsi="Wingdings" w:hint="default"/>
      </w:rPr>
    </w:lvl>
    <w:lvl w:ilvl="3" w:tplc="8CAC2BE6">
      <w:start w:val="1"/>
      <w:numFmt w:val="bullet"/>
      <w:lvlText w:val=""/>
      <w:lvlJc w:val="left"/>
      <w:pPr>
        <w:ind w:left="2880" w:hanging="360"/>
      </w:pPr>
      <w:rPr>
        <w:rFonts w:ascii="Symbol" w:hAnsi="Symbol" w:hint="default"/>
      </w:rPr>
    </w:lvl>
    <w:lvl w:ilvl="4" w:tplc="95267986">
      <w:start w:val="1"/>
      <w:numFmt w:val="bullet"/>
      <w:lvlText w:val="o"/>
      <w:lvlJc w:val="left"/>
      <w:pPr>
        <w:ind w:left="3600" w:hanging="360"/>
      </w:pPr>
      <w:rPr>
        <w:rFonts w:ascii="Courier New" w:hAnsi="Courier New" w:hint="default"/>
      </w:rPr>
    </w:lvl>
    <w:lvl w:ilvl="5" w:tplc="75027286">
      <w:start w:val="1"/>
      <w:numFmt w:val="bullet"/>
      <w:lvlText w:val=""/>
      <w:lvlJc w:val="left"/>
      <w:pPr>
        <w:ind w:left="4320" w:hanging="360"/>
      </w:pPr>
      <w:rPr>
        <w:rFonts w:ascii="Wingdings" w:hAnsi="Wingdings" w:hint="default"/>
      </w:rPr>
    </w:lvl>
    <w:lvl w:ilvl="6" w:tplc="F1806DD2">
      <w:start w:val="1"/>
      <w:numFmt w:val="bullet"/>
      <w:lvlText w:val=""/>
      <w:lvlJc w:val="left"/>
      <w:pPr>
        <w:ind w:left="5040" w:hanging="360"/>
      </w:pPr>
      <w:rPr>
        <w:rFonts w:ascii="Symbol" w:hAnsi="Symbol" w:hint="default"/>
      </w:rPr>
    </w:lvl>
    <w:lvl w:ilvl="7" w:tplc="94B45718">
      <w:start w:val="1"/>
      <w:numFmt w:val="bullet"/>
      <w:lvlText w:val="o"/>
      <w:lvlJc w:val="left"/>
      <w:pPr>
        <w:ind w:left="5760" w:hanging="360"/>
      </w:pPr>
      <w:rPr>
        <w:rFonts w:ascii="Courier New" w:hAnsi="Courier New" w:hint="default"/>
      </w:rPr>
    </w:lvl>
    <w:lvl w:ilvl="8" w:tplc="C3C4F290">
      <w:start w:val="1"/>
      <w:numFmt w:val="bullet"/>
      <w:lvlText w:val=""/>
      <w:lvlJc w:val="left"/>
      <w:pPr>
        <w:ind w:left="6480" w:hanging="360"/>
      </w:pPr>
      <w:rPr>
        <w:rFonts w:ascii="Wingdings" w:hAnsi="Wingdings" w:hint="default"/>
      </w:rPr>
    </w:lvl>
  </w:abstractNum>
  <w:abstractNum w:abstractNumId="30" w15:restartNumberingAfterBreak="0">
    <w:nsid w:val="54886D6E"/>
    <w:multiLevelType w:val="hybridMultilevel"/>
    <w:tmpl w:val="D0EEF69C"/>
    <w:lvl w:ilvl="0" w:tplc="675A5EA0">
      <w:start w:val="1"/>
      <w:numFmt w:val="bullet"/>
      <w:lvlText w:val=""/>
      <w:lvlJc w:val="left"/>
      <w:pPr>
        <w:ind w:left="720" w:hanging="360"/>
      </w:pPr>
      <w:rPr>
        <w:rFonts w:ascii="Symbol" w:hAnsi="Symbol" w:hint="default"/>
      </w:rPr>
    </w:lvl>
    <w:lvl w:ilvl="1" w:tplc="82E2B1DC">
      <w:start w:val="1"/>
      <w:numFmt w:val="bullet"/>
      <w:lvlText w:val="o"/>
      <w:lvlJc w:val="left"/>
      <w:pPr>
        <w:ind w:left="1440" w:hanging="360"/>
      </w:pPr>
      <w:rPr>
        <w:rFonts w:ascii="Courier New" w:hAnsi="Courier New" w:hint="default"/>
      </w:rPr>
    </w:lvl>
    <w:lvl w:ilvl="2" w:tplc="D7988A2C">
      <w:start w:val="1"/>
      <w:numFmt w:val="bullet"/>
      <w:lvlText w:val=""/>
      <w:lvlJc w:val="left"/>
      <w:pPr>
        <w:ind w:left="2160" w:hanging="360"/>
      </w:pPr>
      <w:rPr>
        <w:rFonts w:ascii="Wingdings" w:hAnsi="Wingdings" w:hint="default"/>
      </w:rPr>
    </w:lvl>
    <w:lvl w:ilvl="3" w:tplc="451A4154">
      <w:start w:val="1"/>
      <w:numFmt w:val="bullet"/>
      <w:lvlText w:val=""/>
      <w:lvlJc w:val="left"/>
      <w:pPr>
        <w:ind w:left="2880" w:hanging="360"/>
      </w:pPr>
      <w:rPr>
        <w:rFonts w:ascii="Symbol" w:hAnsi="Symbol" w:hint="default"/>
      </w:rPr>
    </w:lvl>
    <w:lvl w:ilvl="4" w:tplc="ABEAE0C2">
      <w:start w:val="1"/>
      <w:numFmt w:val="bullet"/>
      <w:lvlText w:val="o"/>
      <w:lvlJc w:val="left"/>
      <w:pPr>
        <w:ind w:left="3600" w:hanging="360"/>
      </w:pPr>
      <w:rPr>
        <w:rFonts w:ascii="Courier New" w:hAnsi="Courier New" w:hint="default"/>
      </w:rPr>
    </w:lvl>
    <w:lvl w:ilvl="5" w:tplc="333E2B88">
      <w:start w:val="1"/>
      <w:numFmt w:val="bullet"/>
      <w:lvlText w:val=""/>
      <w:lvlJc w:val="left"/>
      <w:pPr>
        <w:ind w:left="4320" w:hanging="360"/>
      </w:pPr>
      <w:rPr>
        <w:rFonts w:ascii="Wingdings" w:hAnsi="Wingdings" w:hint="default"/>
      </w:rPr>
    </w:lvl>
    <w:lvl w:ilvl="6" w:tplc="65A60AC2">
      <w:start w:val="1"/>
      <w:numFmt w:val="bullet"/>
      <w:lvlText w:val=""/>
      <w:lvlJc w:val="left"/>
      <w:pPr>
        <w:ind w:left="5040" w:hanging="360"/>
      </w:pPr>
      <w:rPr>
        <w:rFonts w:ascii="Symbol" w:hAnsi="Symbol" w:hint="default"/>
      </w:rPr>
    </w:lvl>
    <w:lvl w:ilvl="7" w:tplc="EFB6BDD0">
      <w:start w:val="1"/>
      <w:numFmt w:val="bullet"/>
      <w:lvlText w:val="o"/>
      <w:lvlJc w:val="left"/>
      <w:pPr>
        <w:ind w:left="5760" w:hanging="360"/>
      </w:pPr>
      <w:rPr>
        <w:rFonts w:ascii="Courier New" w:hAnsi="Courier New" w:hint="default"/>
      </w:rPr>
    </w:lvl>
    <w:lvl w:ilvl="8" w:tplc="7F58ECB0">
      <w:start w:val="1"/>
      <w:numFmt w:val="bullet"/>
      <w:lvlText w:val=""/>
      <w:lvlJc w:val="left"/>
      <w:pPr>
        <w:ind w:left="6480" w:hanging="360"/>
      </w:pPr>
      <w:rPr>
        <w:rFonts w:ascii="Wingdings" w:hAnsi="Wingdings" w:hint="default"/>
      </w:rPr>
    </w:lvl>
  </w:abstractNum>
  <w:abstractNum w:abstractNumId="31" w15:restartNumberingAfterBreak="0">
    <w:nsid w:val="59660EF8"/>
    <w:multiLevelType w:val="hybridMultilevel"/>
    <w:tmpl w:val="4952463C"/>
    <w:lvl w:ilvl="0" w:tplc="CA2A2EB6">
      <w:start w:val="1"/>
      <w:numFmt w:val="bullet"/>
      <w:lvlText w:val=""/>
      <w:lvlJc w:val="left"/>
      <w:pPr>
        <w:ind w:left="720" w:hanging="360"/>
      </w:pPr>
      <w:rPr>
        <w:rFonts w:ascii="Wingdings" w:hAnsi="Wingdings" w:hint="default"/>
      </w:rPr>
    </w:lvl>
    <w:lvl w:ilvl="1" w:tplc="4662AE8E">
      <w:start w:val="1"/>
      <w:numFmt w:val="bullet"/>
      <w:lvlText w:val="o"/>
      <w:lvlJc w:val="left"/>
      <w:pPr>
        <w:ind w:left="1440" w:hanging="360"/>
      </w:pPr>
      <w:rPr>
        <w:rFonts w:ascii="Courier New" w:hAnsi="Courier New" w:hint="default"/>
      </w:rPr>
    </w:lvl>
    <w:lvl w:ilvl="2" w:tplc="324636F4">
      <w:start w:val="1"/>
      <w:numFmt w:val="bullet"/>
      <w:lvlText w:val=""/>
      <w:lvlJc w:val="left"/>
      <w:pPr>
        <w:ind w:left="2160" w:hanging="360"/>
      </w:pPr>
      <w:rPr>
        <w:rFonts w:ascii="Wingdings" w:hAnsi="Wingdings" w:hint="default"/>
      </w:rPr>
    </w:lvl>
    <w:lvl w:ilvl="3" w:tplc="ABA2EAA2">
      <w:start w:val="1"/>
      <w:numFmt w:val="bullet"/>
      <w:lvlText w:val=""/>
      <w:lvlJc w:val="left"/>
      <w:pPr>
        <w:ind w:left="2880" w:hanging="360"/>
      </w:pPr>
      <w:rPr>
        <w:rFonts w:ascii="Symbol" w:hAnsi="Symbol" w:hint="default"/>
      </w:rPr>
    </w:lvl>
    <w:lvl w:ilvl="4" w:tplc="F4D04F84">
      <w:start w:val="1"/>
      <w:numFmt w:val="bullet"/>
      <w:lvlText w:val="o"/>
      <w:lvlJc w:val="left"/>
      <w:pPr>
        <w:ind w:left="3600" w:hanging="360"/>
      </w:pPr>
      <w:rPr>
        <w:rFonts w:ascii="Courier New" w:hAnsi="Courier New" w:hint="default"/>
      </w:rPr>
    </w:lvl>
    <w:lvl w:ilvl="5" w:tplc="E7A67868">
      <w:start w:val="1"/>
      <w:numFmt w:val="bullet"/>
      <w:lvlText w:val=""/>
      <w:lvlJc w:val="left"/>
      <w:pPr>
        <w:ind w:left="4320" w:hanging="360"/>
      </w:pPr>
      <w:rPr>
        <w:rFonts w:ascii="Wingdings" w:hAnsi="Wingdings" w:hint="default"/>
      </w:rPr>
    </w:lvl>
    <w:lvl w:ilvl="6" w:tplc="BE72B858">
      <w:start w:val="1"/>
      <w:numFmt w:val="bullet"/>
      <w:lvlText w:val=""/>
      <w:lvlJc w:val="left"/>
      <w:pPr>
        <w:ind w:left="5040" w:hanging="360"/>
      </w:pPr>
      <w:rPr>
        <w:rFonts w:ascii="Symbol" w:hAnsi="Symbol" w:hint="default"/>
      </w:rPr>
    </w:lvl>
    <w:lvl w:ilvl="7" w:tplc="B5E46E08">
      <w:start w:val="1"/>
      <w:numFmt w:val="bullet"/>
      <w:lvlText w:val="o"/>
      <w:lvlJc w:val="left"/>
      <w:pPr>
        <w:ind w:left="5760" w:hanging="360"/>
      </w:pPr>
      <w:rPr>
        <w:rFonts w:ascii="Courier New" w:hAnsi="Courier New" w:hint="default"/>
      </w:rPr>
    </w:lvl>
    <w:lvl w:ilvl="8" w:tplc="B060E7DE">
      <w:start w:val="1"/>
      <w:numFmt w:val="bullet"/>
      <w:lvlText w:val=""/>
      <w:lvlJc w:val="left"/>
      <w:pPr>
        <w:ind w:left="6480" w:hanging="360"/>
      </w:pPr>
      <w:rPr>
        <w:rFonts w:ascii="Wingdings" w:hAnsi="Wingdings" w:hint="default"/>
      </w:rPr>
    </w:lvl>
  </w:abstractNum>
  <w:abstractNum w:abstractNumId="32" w15:restartNumberingAfterBreak="0">
    <w:nsid w:val="5AC34161"/>
    <w:multiLevelType w:val="hybridMultilevel"/>
    <w:tmpl w:val="D2BE3C6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240B8B"/>
    <w:multiLevelType w:val="hybridMultilevel"/>
    <w:tmpl w:val="26EC7E6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D01AD8"/>
    <w:multiLevelType w:val="hybridMultilevel"/>
    <w:tmpl w:val="0CC8B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EF1431"/>
    <w:multiLevelType w:val="hybridMultilevel"/>
    <w:tmpl w:val="BE0C6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7D449A"/>
    <w:multiLevelType w:val="hybridMultilevel"/>
    <w:tmpl w:val="4214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807C01"/>
    <w:multiLevelType w:val="hybridMultilevel"/>
    <w:tmpl w:val="512A2914"/>
    <w:lvl w:ilvl="0" w:tplc="294822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181A06"/>
    <w:multiLevelType w:val="hybridMultilevel"/>
    <w:tmpl w:val="6C7EBFDC"/>
    <w:lvl w:ilvl="0" w:tplc="294822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E81632"/>
    <w:multiLevelType w:val="hybridMultilevel"/>
    <w:tmpl w:val="F0DCDD16"/>
    <w:lvl w:ilvl="0" w:tplc="2948220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07A3C69"/>
    <w:multiLevelType w:val="hybridMultilevel"/>
    <w:tmpl w:val="D548AE0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107DFB"/>
    <w:multiLevelType w:val="hybridMultilevel"/>
    <w:tmpl w:val="6E28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7778F"/>
    <w:multiLevelType w:val="hybridMultilevel"/>
    <w:tmpl w:val="430C97B4"/>
    <w:lvl w:ilvl="0" w:tplc="294822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4FF2B1"/>
    <w:multiLevelType w:val="hybridMultilevel"/>
    <w:tmpl w:val="1F0EE4EC"/>
    <w:lvl w:ilvl="0" w:tplc="B00C57F4">
      <w:start w:val="1"/>
      <w:numFmt w:val="bullet"/>
      <w:lvlText w:val=""/>
      <w:lvlJc w:val="left"/>
      <w:pPr>
        <w:ind w:left="720" w:hanging="360"/>
      </w:pPr>
      <w:rPr>
        <w:rFonts w:ascii="Wingdings" w:hAnsi="Wingdings" w:hint="default"/>
      </w:rPr>
    </w:lvl>
    <w:lvl w:ilvl="1" w:tplc="97D8CEBE">
      <w:start w:val="1"/>
      <w:numFmt w:val="bullet"/>
      <w:lvlText w:val="o"/>
      <w:lvlJc w:val="left"/>
      <w:pPr>
        <w:ind w:left="1440" w:hanging="360"/>
      </w:pPr>
      <w:rPr>
        <w:rFonts w:ascii="Courier New" w:hAnsi="Courier New" w:hint="default"/>
      </w:rPr>
    </w:lvl>
    <w:lvl w:ilvl="2" w:tplc="C4BE3808">
      <w:start w:val="1"/>
      <w:numFmt w:val="bullet"/>
      <w:lvlText w:val=""/>
      <w:lvlJc w:val="left"/>
      <w:pPr>
        <w:ind w:left="2160" w:hanging="360"/>
      </w:pPr>
      <w:rPr>
        <w:rFonts w:ascii="Wingdings" w:hAnsi="Wingdings" w:hint="default"/>
      </w:rPr>
    </w:lvl>
    <w:lvl w:ilvl="3" w:tplc="EB0A787A">
      <w:start w:val="1"/>
      <w:numFmt w:val="bullet"/>
      <w:lvlText w:val=""/>
      <w:lvlJc w:val="left"/>
      <w:pPr>
        <w:ind w:left="2880" w:hanging="360"/>
      </w:pPr>
      <w:rPr>
        <w:rFonts w:ascii="Symbol" w:hAnsi="Symbol" w:hint="default"/>
      </w:rPr>
    </w:lvl>
    <w:lvl w:ilvl="4" w:tplc="5AA4B8C4">
      <w:start w:val="1"/>
      <w:numFmt w:val="bullet"/>
      <w:lvlText w:val="o"/>
      <w:lvlJc w:val="left"/>
      <w:pPr>
        <w:ind w:left="3600" w:hanging="360"/>
      </w:pPr>
      <w:rPr>
        <w:rFonts w:ascii="Courier New" w:hAnsi="Courier New" w:hint="default"/>
      </w:rPr>
    </w:lvl>
    <w:lvl w:ilvl="5" w:tplc="AE521352">
      <w:start w:val="1"/>
      <w:numFmt w:val="bullet"/>
      <w:lvlText w:val=""/>
      <w:lvlJc w:val="left"/>
      <w:pPr>
        <w:ind w:left="4320" w:hanging="360"/>
      </w:pPr>
      <w:rPr>
        <w:rFonts w:ascii="Wingdings" w:hAnsi="Wingdings" w:hint="default"/>
      </w:rPr>
    </w:lvl>
    <w:lvl w:ilvl="6" w:tplc="8F66B716">
      <w:start w:val="1"/>
      <w:numFmt w:val="bullet"/>
      <w:lvlText w:val=""/>
      <w:lvlJc w:val="left"/>
      <w:pPr>
        <w:ind w:left="5040" w:hanging="360"/>
      </w:pPr>
      <w:rPr>
        <w:rFonts w:ascii="Symbol" w:hAnsi="Symbol" w:hint="default"/>
      </w:rPr>
    </w:lvl>
    <w:lvl w:ilvl="7" w:tplc="5F04A546">
      <w:start w:val="1"/>
      <w:numFmt w:val="bullet"/>
      <w:lvlText w:val="o"/>
      <w:lvlJc w:val="left"/>
      <w:pPr>
        <w:ind w:left="5760" w:hanging="360"/>
      </w:pPr>
      <w:rPr>
        <w:rFonts w:ascii="Courier New" w:hAnsi="Courier New" w:hint="default"/>
      </w:rPr>
    </w:lvl>
    <w:lvl w:ilvl="8" w:tplc="0E2612E4">
      <w:start w:val="1"/>
      <w:numFmt w:val="bullet"/>
      <w:lvlText w:val=""/>
      <w:lvlJc w:val="left"/>
      <w:pPr>
        <w:ind w:left="6480" w:hanging="360"/>
      </w:pPr>
      <w:rPr>
        <w:rFonts w:ascii="Wingdings" w:hAnsi="Wingdings" w:hint="default"/>
      </w:rPr>
    </w:lvl>
  </w:abstractNum>
  <w:abstractNum w:abstractNumId="44" w15:restartNumberingAfterBreak="0">
    <w:nsid w:val="7DC5892D"/>
    <w:multiLevelType w:val="hybridMultilevel"/>
    <w:tmpl w:val="C1903950"/>
    <w:lvl w:ilvl="0" w:tplc="3D02CFE8">
      <w:start w:val="1"/>
      <w:numFmt w:val="bullet"/>
      <w:lvlText w:val=""/>
      <w:lvlJc w:val="left"/>
      <w:pPr>
        <w:ind w:left="720" w:hanging="360"/>
      </w:pPr>
      <w:rPr>
        <w:rFonts w:ascii="Wingdings" w:hAnsi="Wingdings" w:hint="default"/>
      </w:rPr>
    </w:lvl>
    <w:lvl w:ilvl="1" w:tplc="797C29FA">
      <w:start w:val="1"/>
      <w:numFmt w:val="bullet"/>
      <w:lvlText w:val="o"/>
      <w:lvlJc w:val="left"/>
      <w:pPr>
        <w:ind w:left="1440" w:hanging="360"/>
      </w:pPr>
      <w:rPr>
        <w:rFonts w:ascii="Courier New" w:hAnsi="Courier New" w:hint="default"/>
      </w:rPr>
    </w:lvl>
    <w:lvl w:ilvl="2" w:tplc="BD04D386">
      <w:start w:val="1"/>
      <w:numFmt w:val="bullet"/>
      <w:lvlText w:val=""/>
      <w:lvlJc w:val="left"/>
      <w:pPr>
        <w:ind w:left="2160" w:hanging="360"/>
      </w:pPr>
      <w:rPr>
        <w:rFonts w:ascii="Wingdings" w:hAnsi="Wingdings" w:hint="default"/>
      </w:rPr>
    </w:lvl>
    <w:lvl w:ilvl="3" w:tplc="3CAC1A30">
      <w:start w:val="1"/>
      <w:numFmt w:val="bullet"/>
      <w:lvlText w:val=""/>
      <w:lvlJc w:val="left"/>
      <w:pPr>
        <w:ind w:left="2880" w:hanging="360"/>
      </w:pPr>
      <w:rPr>
        <w:rFonts w:ascii="Symbol" w:hAnsi="Symbol" w:hint="default"/>
      </w:rPr>
    </w:lvl>
    <w:lvl w:ilvl="4" w:tplc="E3F85C12">
      <w:start w:val="1"/>
      <w:numFmt w:val="bullet"/>
      <w:lvlText w:val="o"/>
      <w:lvlJc w:val="left"/>
      <w:pPr>
        <w:ind w:left="3600" w:hanging="360"/>
      </w:pPr>
      <w:rPr>
        <w:rFonts w:ascii="Courier New" w:hAnsi="Courier New" w:hint="default"/>
      </w:rPr>
    </w:lvl>
    <w:lvl w:ilvl="5" w:tplc="9B3609DA">
      <w:start w:val="1"/>
      <w:numFmt w:val="bullet"/>
      <w:lvlText w:val=""/>
      <w:lvlJc w:val="left"/>
      <w:pPr>
        <w:ind w:left="4320" w:hanging="360"/>
      </w:pPr>
      <w:rPr>
        <w:rFonts w:ascii="Wingdings" w:hAnsi="Wingdings" w:hint="default"/>
      </w:rPr>
    </w:lvl>
    <w:lvl w:ilvl="6" w:tplc="38E03D80">
      <w:start w:val="1"/>
      <w:numFmt w:val="bullet"/>
      <w:lvlText w:val=""/>
      <w:lvlJc w:val="left"/>
      <w:pPr>
        <w:ind w:left="5040" w:hanging="360"/>
      </w:pPr>
      <w:rPr>
        <w:rFonts w:ascii="Symbol" w:hAnsi="Symbol" w:hint="default"/>
      </w:rPr>
    </w:lvl>
    <w:lvl w:ilvl="7" w:tplc="A25A017C">
      <w:start w:val="1"/>
      <w:numFmt w:val="bullet"/>
      <w:lvlText w:val="o"/>
      <w:lvlJc w:val="left"/>
      <w:pPr>
        <w:ind w:left="5760" w:hanging="360"/>
      </w:pPr>
      <w:rPr>
        <w:rFonts w:ascii="Courier New" w:hAnsi="Courier New" w:hint="default"/>
      </w:rPr>
    </w:lvl>
    <w:lvl w:ilvl="8" w:tplc="3AE4B426">
      <w:start w:val="1"/>
      <w:numFmt w:val="bullet"/>
      <w:lvlText w:val=""/>
      <w:lvlJc w:val="left"/>
      <w:pPr>
        <w:ind w:left="6480" w:hanging="360"/>
      </w:pPr>
      <w:rPr>
        <w:rFonts w:ascii="Wingdings" w:hAnsi="Wingdings" w:hint="default"/>
      </w:rPr>
    </w:lvl>
  </w:abstractNum>
  <w:abstractNum w:abstractNumId="45" w15:restartNumberingAfterBreak="0">
    <w:nsid w:val="7F74C2D7"/>
    <w:multiLevelType w:val="hybridMultilevel"/>
    <w:tmpl w:val="2BAE0EAC"/>
    <w:lvl w:ilvl="0" w:tplc="5A04B7EE">
      <w:start w:val="1"/>
      <w:numFmt w:val="bullet"/>
      <w:lvlText w:val=""/>
      <w:lvlJc w:val="left"/>
      <w:pPr>
        <w:ind w:left="720" w:hanging="360"/>
      </w:pPr>
      <w:rPr>
        <w:rFonts w:ascii="Wingdings" w:hAnsi="Wingdings" w:hint="default"/>
      </w:rPr>
    </w:lvl>
    <w:lvl w:ilvl="1" w:tplc="B10EE03E">
      <w:start w:val="1"/>
      <w:numFmt w:val="bullet"/>
      <w:lvlText w:val="o"/>
      <w:lvlJc w:val="left"/>
      <w:pPr>
        <w:ind w:left="1440" w:hanging="360"/>
      </w:pPr>
      <w:rPr>
        <w:rFonts w:ascii="Courier New" w:hAnsi="Courier New" w:hint="default"/>
      </w:rPr>
    </w:lvl>
    <w:lvl w:ilvl="2" w:tplc="68089478">
      <w:start w:val="1"/>
      <w:numFmt w:val="bullet"/>
      <w:lvlText w:val=""/>
      <w:lvlJc w:val="left"/>
      <w:pPr>
        <w:ind w:left="2160" w:hanging="360"/>
      </w:pPr>
      <w:rPr>
        <w:rFonts w:ascii="Wingdings" w:hAnsi="Wingdings" w:hint="default"/>
      </w:rPr>
    </w:lvl>
    <w:lvl w:ilvl="3" w:tplc="63007A66">
      <w:start w:val="1"/>
      <w:numFmt w:val="bullet"/>
      <w:lvlText w:val=""/>
      <w:lvlJc w:val="left"/>
      <w:pPr>
        <w:ind w:left="2880" w:hanging="360"/>
      </w:pPr>
      <w:rPr>
        <w:rFonts w:ascii="Symbol" w:hAnsi="Symbol" w:hint="default"/>
      </w:rPr>
    </w:lvl>
    <w:lvl w:ilvl="4" w:tplc="FF10CB7C">
      <w:start w:val="1"/>
      <w:numFmt w:val="bullet"/>
      <w:lvlText w:val="o"/>
      <w:lvlJc w:val="left"/>
      <w:pPr>
        <w:ind w:left="3600" w:hanging="360"/>
      </w:pPr>
      <w:rPr>
        <w:rFonts w:ascii="Courier New" w:hAnsi="Courier New" w:hint="default"/>
      </w:rPr>
    </w:lvl>
    <w:lvl w:ilvl="5" w:tplc="F3CA2E1C">
      <w:start w:val="1"/>
      <w:numFmt w:val="bullet"/>
      <w:lvlText w:val=""/>
      <w:lvlJc w:val="left"/>
      <w:pPr>
        <w:ind w:left="4320" w:hanging="360"/>
      </w:pPr>
      <w:rPr>
        <w:rFonts w:ascii="Wingdings" w:hAnsi="Wingdings" w:hint="default"/>
      </w:rPr>
    </w:lvl>
    <w:lvl w:ilvl="6" w:tplc="5A586A96">
      <w:start w:val="1"/>
      <w:numFmt w:val="bullet"/>
      <w:lvlText w:val=""/>
      <w:lvlJc w:val="left"/>
      <w:pPr>
        <w:ind w:left="5040" w:hanging="360"/>
      </w:pPr>
      <w:rPr>
        <w:rFonts w:ascii="Symbol" w:hAnsi="Symbol" w:hint="default"/>
      </w:rPr>
    </w:lvl>
    <w:lvl w:ilvl="7" w:tplc="5EFA34E0">
      <w:start w:val="1"/>
      <w:numFmt w:val="bullet"/>
      <w:lvlText w:val="o"/>
      <w:lvlJc w:val="left"/>
      <w:pPr>
        <w:ind w:left="5760" w:hanging="360"/>
      </w:pPr>
      <w:rPr>
        <w:rFonts w:ascii="Courier New" w:hAnsi="Courier New" w:hint="default"/>
      </w:rPr>
    </w:lvl>
    <w:lvl w:ilvl="8" w:tplc="E74E26CC">
      <w:start w:val="1"/>
      <w:numFmt w:val="bullet"/>
      <w:lvlText w:val=""/>
      <w:lvlJc w:val="left"/>
      <w:pPr>
        <w:ind w:left="6480" w:hanging="360"/>
      </w:pPr>
      <w:rPr>
        <w:rFonts w:ascii="Wingdings" w:hAnsi="Wingdings" w:hint="default"/>
      </w:rPr>
    </w:lvl>
  </w:abstractNum>
  <w:num w:numId="1" w16cid:durableId="1845052317">
    <w:abstractNumId w:val="13"/>
  </w:num>
  <w:num w:numId="2" w16cid:durableId="1491292259">
    <w:abstractNumId w:val="4"/>
  </w:num>
  <w:num w:numId="3" w16cid:durableId="687145598">
    <w:abstractNumId w:val="30"/>
  </w:num>
  <w:num w:numId="4" w16cid:durableId="677118564">
    <w:abstractNumId w:val="23"/>
  </w:num>
  <w:num w:numId="5" w16cid:durableId="150416855">
    <w:abstractNumId w:val="1"/>
  </w:num>
  <w:num w:numId="6" w16cid:durableId="1148282328">
    <w:abstractNumId w:val="29"/>
  </w:num>
  <w:num w:numId="7" w16cid:durableId="1463422318">
    <w:abstractNumId w:val="8"/>
  </w:num>
  <w:num w:numId="8" w16cid:durableId="208999317">
    <w:abstractNumId w:val="9"/>
  </w:num>
  <w:num w:numId="9" w16cid:durableId="823159505">
    <w:abstractNumId w:val="11"/>
  </w:num>
  <w:num w:numId="10" w16cid:durableId="1743944096">
    <w:abstractNumId w:val="10"/>
  </w:num>
  <w:num w:numId="11" w16cid:durableId="769007241">
    <w:abstractNumId w:val="7"/>
  </w:num>
  <w:num w:numId="12" w16cid:durableId="889002585">
    <w:abstractNumId w:val="24"/>
  </w:num>
  <w:num w:numId="13" w16cid:durableId="1799909666">
    <w:abstractNumId w:val="34"/>
  </w:num>
  <w:num w:numId="14" w16cid:durableId="1484854857">
    <w:abstractNumId w:val="6"/>
  </w:num>
  <w:num w:numId="15" w16cid:durableId="1191530685">
    <w:abstractNumId w:val="20"/>
  </w:num>
  <w:num w:numId="16" w16cid:durableId="1903176517">
    <w:abstractNumId w:val="43"/>
  </w:num>
  <w:num w:numId="17" w16cid:durableId="962883640">
    <w:abstractNumId w:val="2"/>
  </w:num>
  <w:num w:numId="18" w16cid:durableId="916743042">
    <w:abstractNumId w:val="28"/>
  </w:num>
  <w:num w:numId="19" w16cid:durableId="902838714">
    <w:abstractNumId w:val="44"/>
  </w:num>
  <w:num w:numId="20" w16cid:durableId="1981182009">
    <w:abstractNumId w:val="45"/>
  </w:num>
  <w:num w:numId="21" w16cid:durableId="1904293578">
    <w:abstractNumId w:val="0"/>
  </w:num>
  <w:num w:numId="22" w16cid:durableId="330332583">
    <w:abstractNumId w:val="31"/>
  </w:num>
  <w:num w:numId="23" w16cid:durableId="1029570722">
    <w:abstractNumId w:val="39"/>
  </w:num>
  <w:num w:numId="24" w16cid:durableId="893393503">
    <w:abstractNumId w:val="19"/>
  </w:num>
  <w:num w:numId="25" w16cid:durableId="1946572541">
    <w:abstractNumId w:val="37"/>
  </w:num>
  <w:num w:numId="26" w16cid:durableId="844319402">
    <w:abstractNumId w:val="14"/>
  </w:num>
  <w:num w:numId="27" w16cid:durableId="261229939">
    <w:abstractNumId w:val="12"/>
  </w:num>
  <w:num w:numId="28" w16cid:durableId="593320640">
    <w:abstractNumId w:val="22"/>
  </w:num>
  <w:num w:numId="29" w16cid:durableId="937493584">
    <w:abstractNumId w:val="3"/>
  </w:num>
  <w:num w:numId="30" w16cid:durableId="854615156">
    <w:abstractNumId w:val="35"/>
  </w:num>
  <w:num w:numId="31" w16cid:durableId="1932350382">
    <w:abstractNumId w:val="40"/>
  </w:num>
  <w:num w:numId="32" w16cid:durableId="342442683">
    <w:abstractNumId w:val="5"/>
  </w:num>
  <w:num w:numId="33" w16cid:durableId="1349675039">
    <w:abstractNumId w:val="33"/>
  </w:num>
  <w:num w:numId="34" w16cid:durableId="871919097">
    <w:abstractNumId w:val="26"/>
  </w:num>
  <w:num w:numId="35" w16cid:durableId="1212769833">
    <w:abstractNumId w:val="18"/>
  </w:num>
  <w:num w:numId="36" w16cid:durableId="1483499029">
    <w:abstractNumId w:val="21"/>
  </w:num>
  <w:num w:numId="37" w16cid:durableId="216552683">
    <w:abstractNumId w:val="41"/>
  </w:num>
  <w:num w:numId="38" w16cid:durableId="175270540">
    <w:abstractNumId w:val="32"/>
  </w:num>
  <w:num w:numId="39" w16cid:durableId="1791126798">
    <w:abstractNumId w:val="16"/>
  </w:num>
  <w:num w:numId="40" w16cid:durableId="357439475">
    <w:abstractNumId w:val="27"/>
  </w:num>
  <w:num w:numId="41" w16cid:durableId="78451200">
    <w:abstractNumId w:val="38"/>
  </w:num>
  <w:num w:numId="42" w16cid:durableId="1744336293">
    <w:abstractNumId w:val="25"/>
  </w:num>
  <w:num w:numId="43" w16cid:durableId="72357950">
    <w:abstractNumId w:val="15"/>
  </w:num>
  <w:num w:numId="44" w16cid:durableId="1678996987">
    <w:abstractNumId w:val="36"/>
  </w:num>
  <w:num w:numId="45" w16cid:durableId="1563172533">
    <w:abstractNumId w:val="17"/>
  </w:num>
  <w:num w:numId="46" w16cid:durableId="194649888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USTO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9axatw70vf2ze9vdmxt0skppvsfd0tst5z&quot;&gt;Chapter One-Converted2&lt;record-ids&gt;&lt;item&gt;1442&lt;/item&gt;&lt;item&gt;1443&lt;/item&gt;&lt;item&gt;1444&lt;/item&gt;&lt;item&gt;1445&lt;/item&gt;&lt;item&gt;1446&lt;/item&gt;&lt;item&gt;1447&lt;/item&gt;&lt;item&gt;1448&lt;/item&gt;&lt;item&gt;1449&lt;/item&gt;&lt;item&gt;1450&lt;/item&gt;&lt;item&gt;1451&lt;/item&gt;&lt;item&gt;1452&lt;/item&gt;&lt;item&gt;1453&lt;/item&gt;&lt;item&gt;1454&lt;/item&gt;&lt;item&gt;1455&lt;/item&gt;&lt;item&gt;1456&lt;/item&gt;&lt;item&gt;1457&lt;/item&gt;&lt;item&gt;1458&lt;/item&gt;&lt;item&gt;1459&lt;/item&gt;&lt;item&gt;1460&lt;/item&gt;&lt;item&gt;1461&lt;/item&gt;&lt;item&gt;1462&lt;/item&gt;&lt;item&gt;1463&lt;/item&gt;&lt;item&gt;1464&lt;/item&gt;&lt;/record-ids&gt;&lt;/item&gt;&lt;/Libraries&gt;"/>
  </w:docVars>
  <w:rsids>
    <w:rsidRoot w:val="00F51A7F"/>
    <w:rsid w:val="0000681C"/>
    <w:rsid w:val="000339AD"/>
    <w:rsid w:val="000D1228"/>
    <w:rsid w:val="000E54C9"/>
    <w:rsid w:val="00103BE7"/>
    <w:rsid w:val="00145505"/>
    <w:rsid w:val="00171130"/>
    <w:rsid w:val="001718D3"/>
    <w:rsid w:val="00181EDA"/>
    <w:rsid w:val="001937CA"/>
    <w:rsid w:val="001A5104"/>
    <w:rsid w:val="001D75AD"/>
    <w:rsid w:val="00215FC8"/>
    <w:rsid w:val="002A398E"/>
    <w:rsid w:val="002B2550"/>
    <w:rsid w:val="0037062F"/>
    <w:rsid w:val="00371FBB"/>
    <w:rsid w:val="003C1981"/>
    <w:rsid w:val="003C67EC"/>
    <w:rsid w:val="00420E04"/>
    <w:rsid w:val="0046172D"/>
    <w:rsid w:val="004B4890"/>
    <w:rsid w:val="004F5A6A"/>
    <w:rsid w:val="0060070A"/>
    <w:rsid w:val="006742AE"/>
    <w:rsid w:val="00693736"/>
    <w:rsid w:val="00695041"/>
    <w:rsid w:val="006A51B5"/>
    <w:rsid w:val="006F144C"/>
    <w:rsid w:val="007532E4"/>
    <w:rsid w:val="007823C6"/>
    <w:rsid w:val="0079061B"/>
    <w:rsid w:val="00793CC7"/>
    <w:rsid w:val="00794F98"/>
    <w:rsid w:val="00814D51"/>
    <w:rsid w:val="008311DF"/>
    <w:rsid w:val="00876FA6"/>
    <w:rsid w:val="008E5933"/>
    <w:rsid w:val="00905536"/>
    <w:rsid w:val="00924A98"/>
    <w:rsid w:val="0099465B"/>
    <w:rsid w:val="009C5830"/>
    <w:rsid w:val="009C6686"/>
    <w:rsid w:val="009E1D09"/>
    <w:rsid w:val="009F255E"/>
    <w:rsid w:val="00A31FBE"/>
    <w:rsid w:val="00A47062"/>
    <w:rsid w:val="00A6238F"/>
    <w:rsid w:val="00A70437"/>
    <w:rsid w:val="00AA4C8E"/>
    <w:rsid w:val="00B95DEA"/>
    <w:rsid w:val="00B97EE2"/>
    <w:rsid w:val="00BA00A9"/>
    <w:rsid w:val="00BA051B"/>
    <w:rsid w:val="00BB45D6"/>
    <w:rsid w:val="00BE3EEE"/>
    <w:rsid w:val="00BF1D8E"/>
    <w:rsid w:val="00C20B55"/>
    <w:rsid w:val="00CA19F6"/>
    <w:rsid w:val="00D054F7"/>
    <w:rsid w:val="00D61F26"/>
    <w:rsid w:val="00D951F1"/>
    <w:rsid w:val="00DB5AFD"/>
    <w:rsid w:val="00DC13F3"/>
    <w:rsid w:val="00DC63B6"/>
    <w:rsid w:val="00DF6E66"/>
    <w:rsid w:val="00E16AD9"/>
    <w:rsid w:val="00EA42D3"/>
    <w:rsid w:val="00EC6C09"/>
    <w:rsid w:val="00F14B13"/>
    <w:rsid w:val="00F14DA0"/>
    <w:rsid w:val="00F22FAB"/>
    <w:rsid w:val="00F420F7"/>
    <w:rsid w:val="00F51A7F"/>
    <w:rsid w:val="00F72C75"/>
    <w:rsid w:val="00F760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F3610"/>
  <w15:chartTrackingRefBased/>
  <w15:docId w15:val="{9F58B96E-0517-4805-B9BC-99535973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A7F"/>
    <w:rPr>
      <w:lang w:val="en-US"/>
    </w:rPr>
  </w:style>
  <w:style w:type="paragraph" w:styleId="Heading1">
    <w:name w:val="heading 1"/>
    <w:basedOn w:val="Normal"/>
    <w:next w:val="Normal"/>
    <w:link w:val="Heading1Char"/>
    <w:uiPriority w:val="9"/>
    <w:qFormat/>
    <w:rsid w:val="00DF6E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F6E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6E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6E6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ize-extra-large">
    <w:name w:val="a-size-extra-large"/>
    <w:basedOn w:val="DefaultParagraphFont"/>
    <w:rsid w:val="00DF6E66"/>
  </w:style>
  <w:style w:type="paragraph" w:styleId="BalloonText">
    <w:name w:val="Balloon Text"/>
    <w:basedOn w:val="Normal"/>
    <w:link w:val="BalloonTextChar"/>
    <w:uiPriority w:val="99"/>
    <w:semiHidden/>
    <w:unhideWhenUsed/>
    <w:rsid w:val="00DF6E6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6E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F6E66"/>
    <w:rPr>
      <w:sz w:val="16"/>
      <w:szCs w:val="16"/>
    </w:rPr>
  </w:style>
  <w:style w:type="paragraph" w:styleId="CommentText">
    <w:name w:val="annotation text"/>
    <w:basedOn w:val="Normal"/>
    <w:link w:val="CommentTextChar"/>
    <w:uiPriority w:val="99"/>
    <w:semiHidden/>
    <w:unhideWhenUsed/>
    <w:rsid w:val="00DF6E66"/>
    <w:pPr>
      <w:spacing w:line="240" w:lineRule="auto"/>
    </w:pPr>
    <w:rPr>
      <w:sz w:val="20"/>
      <w:szCs w:val="20"/>
    </w:rPr>
  </w:style>
  <w:style w:type="character" w:customStyle="1" w:styleId="CommentTextChar">
    <w:name w:val="Comment Text Char"/>
    <w:basedOn w:val="DefaultParagraphFont"/>
    <w:link w:val="CommentText"/>
    <w:uiPriority w:val="99"/>
    <w:semiHidden/>
    <w:rsid w:val="00DF6E66"/>
    <w:rPr>
      <w:sz w:val="20"/>
      <w:szCs w:val="20"/>
    </w:rPr>
  </w:style>
  <w:style w:type="paragraph" w:styleId="CommentSubject">
    <w:name w:val="annotation subject"/>
    <w:basedOn w:val="CommentText"/>
    <w:next w:val="CommentText"/>
    <w:link w:val="CommentSubjectChar"/>
    <w:uiPriority w:val="99"/>
    <w:semiHidden/>
    <w:unhideWhenUsed/>
    <w:rsid w:val="00DF6E66"/>
    <w:rPr>
      <w:b/>
      <w:bCs/>
    </w:rPr>
  </w:style>
  <w:style w:type="character" w:customStyle="1" w:styleId="CommentSubjectChar">
    <w:name w:val="Comment Subject Char"/>
    <w:basedOn w:val="CommentTextChar"/>
    <w:link w:val="CommentSubject"/>
    <w:uiPriority w:val="99"/>
    <w:semiHidden/>
    <w:rsid w:val="00DF6E66"/>
    <w:rPr>
      <w:b/>
      <w:bCs/>
      <w:sz w:val="20"/>
      <w:szCs w:val="20"/>
    </w:rPr>
  </w:style>
  <w:style w:type="paragraph" w:styleId="Footer">
    <w:name w:val="footer"/>
    <w:basedOn w:val="Normal"/>
    <w:link w:val="FooterChar"/>
    <w:uiPriority w:val="99"/>
    <w:unhideWhenUsed/>
    <w:rsid w:val="00DF6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6E66"/>
  </w:style>
  <w:style w:type="character" w:styleId="FootnoteReference">
    <w:name w:val="footnote reference"/>
    <w:basedOn w:val="DefaultParagraphFont"/>
    <w:uiPriority w:val="99"/>
    <w:semiHidden/>
    <w:unhideWhenUsed/>
    <w:rsid w:val="00DF6E66"/>
    <w:rPr>
      <w:vertAlign w:val="superscript"/>
    </w:rPr>
  </w:style>
  <w:style w:type="paragraph" w:styleId="FootnoteText">
    <w:name w:val="footnote text"/>
    <w:basedOn w:val="Normal"/>
    <w:link w:val="FootnoteTextChar"/>
    <w:uiPriority w:val="99"/>
    <w:semiHidden/>
    <w:unhideWhenUsed/>
    <w:rsid w:val="00DF6E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6E66"/>
    <w:rPr>
      <w:sz w:val="20"/>
      <w:szCs w:val="20"/>
    </w:rPr>
  </w:style>
  <w:style w:type="paragraph" w:styleId="Header">
    <w:name w:val="header"/>
    <w:basedOn w:val="Normal"/>
    <w:link w:val="HeaderChar"/>
    <w:uiPriority w:val="99"/>
    <w:unhideWhenUsed/>
    <w:rsid w:val="00DF6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6E66"/>
  </w:style>
  <w:style w:type="character" w:customStyle="1" w:styleId="Heading1Char">
    <w:name w:val="Heading 1 Char"/>
    <w:basedOn w:val="DefaultParagraphFont"/>
    <w:link w:val="Heading1"/>
    <w:uiPriority w:val="9"/>
    <w:rsid w:val="00DF6E6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F6E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F6E6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F6E66"/>
    <w:rPr>
      <w:rFonts w:asciiTheme="majorHAnsi" w:eastAsiaTheme="majorEastAsia" w:hAnsiTheme="majorHAnsi" w:cstheme="majorBidi"/>
      <w:i/>
      <w:iCs/>
      <w:color w:val="2F5496" w:themeColor="accent1" w:themeShade="BF"/>
    </w:rPr>
  </w:style>
  <w:style w:type="character" w:customStyle="1" w:styleId="hlfld-contribauthor">
    <w:name w:val="hlfld-contribauthor"/>
    <w:basedOn w:val="DefaultParagraphFont"/>
    <w:rsid w:val="00DF6E66"/>
  </w:style>
  <w:style w:type="character" w:styleId="Hyperlink">
    <w:name w:val="Hyperlink"/>
    <w:basedOn w:val="DefaultParagraphFont"/>
    <w:uiPriority w:val="99"/>
    <w:unhideWhenUsed/>
    <w:rsid w:val="00DF6E66"/>
    <w:rPr>
      <w:color w:val="0000FF"/>
      <w:u w:val="single"/>
    </w:rPr>
  </w:style>
  <w:style w:type="paragraph" w:styleId="ListParagraph">
    <w:name w:val="List Paragraph"/>
    <w:basedOn w:val="Normal"/>
    <w:link w:val="ListParagraphChar"/>
    <w:uiPriority w:val="34"/>
    <w:qFormat/>
    <w:rsid w:val="00DF6E66"/>
    <w:pPr>
      <w:ind w:left="720"/>
      <w:contextualSpacing/>
    </w:pPr>
  </w:style>
  <w:style w:type="character" w:customStyle="1" w:styleId="nlmarticle-title">
    <w:name w:val="nlm_article-title"/>
    <w:basedOn w:val="DefaultParagraphFont"/>
    <w:rsid w:val="00DF6E66"/>
  </w:style>
  <w:style w:type="character" w:customStyle="1" w:styleId="nlmfpage">
    <w:name w:val="nlm_fpage"/>
    <w:basedOn w:val="DefaultParagraphFont"/>
    <w:rsid w:val="00DF6E66"/>
  </w:style>
  <w:style w:type="character" w:customStyle="1" w:styleId="nlmgiven-names">
    <w:name w:val="nlm_given-names"/>
    <w:basedOn w:val="DefaultParagraphFont"/>
    <w:rsid w:val="00DF6E66"/>
  </w:style>
  <w:style w:type="character" w:customStyle="1" w:styleId="nlmlpage">
    <w:name w:val="nlm_lpage"/>
    <w:basedOn w:val="DefaultParagraphFont"/>
    <w:rsid w:val="00DF6E66"/>
  </w:style>
  <w:style w:type="character" w:customStyle="1" w:styleId="nlmyear">
    <w:name w:val="nlm_year"/>
    <w:basedOn w:val="DefaultParagraphFont"/>
    <w:rsid w:val="00DF6E66"/>
  </w:style>
  <w:style w:type="paragraph" w:styleId="NoSpacing">
    <w:name w:val="No Spacing"/>
    <w:uiPriority w:val="1"/>
    <w:qFormat/>
    <w:rsid w:val="00DF6E66"/>
    <w:pPr>
      <w:spacing w:after="0" w:line="240" w:lineRule="auto"/>
    </w:pPr>
  </w:style>
  <w:style w:type="paragraph" w:styleId="NormalWeb">
    <w:name w:val="Normal (Web)"/>
    <w:basedOn w:val="Normal"/>
    <w:uiPriority w:val="99"/>
    <w:semiHidden/>
    <w:unhideWhenUsed/>
    <w:rsid w:val="00DF6E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DF6E66"/>
  </w:style>
  <w:style w:type="paragraph" w:styleId="Subtitle">
    <w:name w:val="Subtitle"/>
    <w:basedOn w:val="Normal"/>
    <w:next w:val="Normal"/>
    <w:link w:val="SubtitleChar"/>
    <w:uiPriority w:val="11"/>
    <w:qFormat/>
    <w:rsid w:val="00DF6E6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F6E66"/>
    <w:rPr>
      <w:rFonts w:eastAsiaTheme="minorEastAsia"/>
      <w:color w:val="5A5A5A" w:themeColor="text1" w:themeTint="A5"/>
      <w:spacing w:val="15"/>
    </w:rPr>
  </w:style>
  <w:style w:type="paragraph" w:styleId="TOC1">
    <w:name w:val="toc 1"/>
    <w:basedOn w:val="Normal"/>
    <w:next w:val="Normal"/>
    <w:autoRedefine/>
    <w:uiPriority w:val="39"/>
    <w:unhideWhenUsed/>
    <w:rsid w:val="00DF6E66"/>
    <w:pPr>
      <w:spacing w:after="100"/>
    </w:pPr>
  </w:style>
  <w:style w:type="paragraph" w:styleId="TOC2">
    <w:name w:val="toc 2"/>
    <w:basedOn w:val="Normal"/>
    <w:next w:val="Normal"/>
    <w:autoRedefine/>
    <w:uiPriority w:val="39"/>
    <w:unhideWhenUsed/>
    <w:rsid w:val="00DF6E66"/>
    <w:pPr>
      <w:spacing w:after="100"/>
      <w:ind w:left="220"/>
    </w:pPr>
  </w:style>
  <w:style w:type="paragraph" w:styleId="TOC3">
    <w:name w:val="toc 3"/>
    <w:basedOn w:val="Normal"/>
    <w:next w:val="Normal"/>
    <w:autoRedefine/>
    <w:uiPriority w:val="39"/>
    <w:unhideWhenUsed/>
    <w:rsid w:val="00DF6E66"/>
    <w:pPr>
      <w:spacing w:after="100"/>
      <w:ind w:left="440"/>
    </w:pPr>
  </w:style>
  <w:style w:type="paragraph" w:styleId="TOCHeading">
    <w:name w:val="TOC Heading"/>
    <w:basedOn w:val="Heading1"/>
    <w:next w:val="Normal"/>
    <w:uiPriority w:val="39"/>
    <w:unhideWhenUsed/>
    <w:qFormat/>
    <w:rsid w:val="00DF6E66"/>
    <w:pPr>
      <w:outlineLvl w:val="9"/>
    </w:pPr>
  </w:style>
  <w:style w:type="character" w:styleId="UnresolvedMention">
    <w:name w:val="Unresolved Mention"/>
    <w:basedOn w:val="DefaultParagraphFont"/>
    <w:uiPriority w:val="99"/>
    <w:semiHidden/>
    <w:unhideWhenUsed/>
    <w:rsid w:val="00DF6E66"/>
    <w:rPr>
      <w:color w:val="605E5C"/>
      <w:shd w:val="clear" w:color="auto" w:fill="E1DFDD"/>
    </w:rPr>
  </w:style>
  <w:style w:type="character" w:customStyle="1" w:styleId="TitleChar">
    <w:name w:val="Title Char"/>
    <w:basedOn w:val="DefaultParagraphFont"/>
    <w:link w:val="Title"/>
    <w:uiPriority w:val="10"/>
    <w:rsid w:val="00F51A7F"/>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F51A7F"/>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1">
    <w:name w:val="Title Char1"/>
    <w:basedOn w:val="DefaultParagraphFont"/>
    <w:uiPriority w:val="10"/>
    <w:rsid w:val="00F51A7F"/>
    <w:rPr>
      <w:rFonts w:asciiTheme="majorHAnsi" w:eastAsiaTheme="majorEastAsia" w:hAnsiTheme="majorHAnsi" w:cstheme="majorBidi"/>
      <w:spacing w:val="-10"/>
      <w:kern w:val="28"/>
      <w:sz w:val="56"/>
      <w:szCs w:val="56"/>
      <w:lang w:val="en-US"/>
    </w:rPr>
  </w:style>
  <w:style w:type="character" w:customStyle="1" w:styleId="markedcontent">
    <w:name w:val="markedcontent"/>
    <w:basedOn w:val="DefaultParagraphFont"/>
    <w:rsid w:val="000E54C9"/>
  </w:style>
  <w:style w:type="character" w:styleId="SubtleEmphasis">
    <w:name w:val="Subtle Emphasis"/>
    <w:basedOn w:val="DefaultParagraphFont"/>
    <w:uiPriority w:val="19"/>
    <w:qFormat/>
    <w:rsid w:val="006F144C"/>
    <w:rPr>
      <w:i/>
      <w:iCs/>
      <w:color w:val="404040" w:themeColor="text1" w:themeTint="BF"/>
    </w:rPr>
  </w:style>
  <w:style w:type="paragraph" w:customStyle="1" w:styleId="EndNoteBibliographyTitle">
    <w:name w:val="EndNote Bibliography Title"/>
    <w:basedOn w:val="Normal"/>
    <w:link w:val="EndNoteBibliographyTitleChar"/>
    <w:rsid w:val="00AA4C8E"/>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AA4C8E"/>
    <w:rPr>
      <w:lang w:val="en-US"/>
    </w:rPr>
  </w:style>
  <w:style w:type="character" w:customStyle="1" w:styleId="EndNoteBibliographyTitleChar">
    <w:name w:val="EndNote Bibliography Title Char"/>
    <w:basedOn w:val="ListParagraphChar"/>
    <w:link w:val="EndNoteBibliographyTitle"/>
    <w:rsid w:val="00AA4C8E"/>
    <w:rPr>
      <w:rFonts w:ascii="Calibri" w:hAnsi="Calibri" w:cs="Calibri"/>
      <w:noProof/>
      <w:lang w:val="en-US"/>
    </w:rPr>
  </w:style>
  <w:style w:type="paragraph" w:customStyle="1" w:styleId="EndNoteBibliography">
    <w:name w:val="EndNote Bibliography"/>
    <w:basedOn w:val="Normal"/>
    <w:link w:val="EndNoteBibliographyChar"/>
    <w:rsid w:val="00AA4C8E"/>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AA4C8E"/>
    <w:rPr>
      <w:rFonts w:ascii="Calibri" w:hAnsi="Calibri" w:cs="Calibri"/>
      <w:noProof/>
      <w:lang w:val="en-US"/>
    </w:rPr>
  </w:style>
  <w:style w:type="character" w:styleId="FollowedHyperlink">
    <w:name w:val="FollowedHyperlink"/>
    <w:basedOn w:val="DefaultParagraphFont"/>
    <w:uiPriority w:val="99"/>
    <w:semiHidden/>
    <w:unhideWhenUsed/>
    <w:rsid w:val="00DB5A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574145">
      <w:bodyDiv w:val="1"/>
      <w:marLeft w:val="0"/>
      <w:marRight w:val="0"/>
      <w:marTop w:val="0"/>
      <w:marBottom w:val="0"/>
      <w:divBdr>
        <w:top w:val="none" w:sz="0" w:space="0" w:color="auto"/>
        <w:left w:val="none" w:sz="0" w:space="0" w:color="auto"/>
        <w:bottom w:val="none" w:sz="0" w:space="0" w:color="auto"/>
        <w:right w:val="none" w:sz="0" w:space="0" w:color="auto"/>
      </w:divBdr>
    </w:div>
    <w:div w:id="423305320">
      <w:bodyDiv w:val="1"/>
      <w:marLeft w:val="0"/>
      <w:marRight w:val="0"/>
      <w:marTop w:val="0"/>
      <w:marBottom w:val="0"/>
      <w:divBdr>
        <w:top w:val="none" w:sz="0" w:space="0" w:color="auto"/>
        <w:left w:val="none" w:sz="0" w:space="0" w:color="auto"/>
        <w:bottom w:val="none" w:sz="0" w:space="0" w:color="auto"/>
        <w:right w:val="none" w:sz="0" w:space="0" w:color="auto"/>
      </w:divBdr>
    </w:div>
    <w:div w:id="480510184">
      <w:bodyDiv w:val="1"/>
      <w:marLeft w:val="0"/>
      <w:marRight w:val="0"/>
      <w:marTop w:val="0"/>
      <w:marBottom w:val="0"/>
      <w:divBdr>
        <w:top w:val="none" w:sz="0" w:space="0" w:color="auto"/>
        <w:left w:val="none" w:sz="0" w:space="0" w:color="auto"/>
        <w:bottom w:val="none" w:sz="0" w:space="0" w:color="auto"/>
        <w:right w:val="none" w:sz="0" w:space="0" w:color="auto"/>
      </w:divBdr>
    </w:div>
    <w:div w:id="697925171">
      <w:bodyDiv w:val="1"/>
      <w:marLeft w:val="0"/>
      <w:marRight w:val="0"/>
      <w:marTop w:val="0"/>
      <w:marBottom w:val="0"/>
      <w:divBdr>
        <w:top w:val="none" w:sz="0" w:space="0" w:color="auto"/>
        <w:left w:val="none" w:sz="0" w:space="0" w:color="auto"/>
        <w:bottom w:val="none" w:sz="0" w:space="0" w:color="auto"/>
        <w:right w:val="none" w:sz="0" w:space="0" w:color="auto"/>
      </w:divBdr>
    </w:div>
    <w:div w:id="16046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iddlesbrough.gov.uk/news/area-become-international-beacon-tackling-health-inequalit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edcar-cleveland.gov.uk/sites/default/files/2022-05/Sexual%20Health%20JSNA.pdf" TargetMode="External"/><Relationship Id="rId4" Type="http://schemas.openxmlformats.org/officeDocument/2006/relationships/webSettings" Target="webSettings.xml"/><Relationship Id="rId9" Type="http://schemas.openxmlformats.org/officeDocument/2006/relationships/image" Target="cid:image002.png@01D94AC6.EEFCDF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7</Pages>
  <Words>6799</Words>
  <Characters>38756</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Divers, Andrew</dc:creator>
  <cp:keywords/>
  <dc:description/>
  <cp:lastModifiedBy>Divers, Andrew</cp:lastModifiedBy>
  <cp:revision>11</cp:revision>
  <dcterms:created xsi:type="dcterms:W3CDTF">2023-09-11T11:27:00Z</dcterms:created>
  <dcterms:modified xsi:type="dcterms:W3CDTF">2024-04-08T08:37:00Z</dcterms:modified>
</cp:coreProperties>
</file>