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2355F" w14:textId="77777777" w:rsidR="00653959" w:rsidRDefault="00653959" w:rsidP="00653959">
      <w:pPr>
        <w:pStyle w:val="Heading1"/>
        <w:jc w:val="center"/>
        <w:rPr>
          <w:b/>
          <w:bCs/>
          <w:u w:val="single"/>
        </w:rPr>
      </w:pPr>
      <w:r>
        <w:rPr>
          <w:noProof/>
          <w:lang w:eastAsia="en-GB"/>
        </w:rPr>
        <w:drawing>
          <wp:inline distT="0" distB="0" distL="0" distR="0" wp14:anchorId="11B3BECD" wp14:editId="37AB7000">
            <wp:extent cx="5692336" cy="1034143"/>
            <wp:effectExtent l="0" t="0" r="0" b="0"/>
            <wp:docPr id="1" name="Picture 1" descr="Blue text on a black background&#10;&#10;Description automatically generated with medium confidenc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text on a black background&#10;&#10;Description automatically generated with medium confidence">
                      <a:hlinkClick r:id="rId7"/>
                    </pic:cNvP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59117" cy="1046275"/>
                    </a:xfrm>
                    <a:prstGeom prst="rect">
                      <a:avLst/>
                    </a:prstGeom>
                    <a:noFill/>
                    <a:ln>
                      <a:noFill/>
                    </a:ln>
                  </pic:spPr>
                </pic:pic>
              </a:graphicData>
            </a:graphic>
          </wp:inline>
        </w:drawing>
      </w:r>
    </w:p>
    <w:p w14:paraId="5EA67120" w14:textId="4535D898" w:rsidR="00653959" w:rsidRDefault="006512D7" w:rsidP="00653959">
      <w:pPr>
        <w:pStyle w:val="Heading1"/>
        <w:jc w:val="center"/>
        <w:rPr>
          <w:b/>
          <w:bCs/>
          <w:sz w:val="40"/>
          <w:szCs w:val="40"/>
        </w:rPr>
      </w:pPr>
      <w:r>
        <w:rPr>
          <w:b/>
          <w:bCs/>
          <w:i/>
          <w:iCs/>
          <w:sz w:val="40"/>
          <w:szCs w:val="40"/>
        </w:rPr>
        <w:t xml:space="preserve">Research Insights: </w:t>
      </w:r>
      <w:r w:rsidR="001066C1">
        <w:rPr>
          <w:b/>
          <w:bCs/>
          <w:sz w:val="40"/>
          <w:szCs w:val="40"/>
        </w:rPr>
        <w:t>End of Life Care</w:t>
      </w:r>
    </w:p>
    <w:p w14:paraId="324EBCF5" w14:textId="502790ED" w:rsidR="00653959" w:rsidRDefault="00653959" w:rsidP="00653959">
      <w:pPr>
        <w:pStyle w:val="Heading1"/>
        <w:jc w:val="center"/>
        <w:rPr>
          <w:rStyle w:val="SubtleEmphasis"/>
        </w:rPr>
      </w:pPr>
      <w:r>
        <w:rPr>
          <w:rStyle w:val="SubtleEmphasis"/>
        </w:rPr>
        <w:t>M Din &amp; A Divers</w:t>
      </w:r>
    </w:p>
    <w:p w14:paraId="73AFCA0E" w14:textId="77777777" w:rsidR="00FE25D4" w:rsidRPr="00FE25D4" w:rsidRDefault="00FE25D4" w:rsidP="00653959">
      <w:pPr>
        <w:pStyle w:val="Heading3"/>
      </w:pPr>
    </w:p>
    <w:p w14:paraId="3B75CFAD" w14:textId="3FCAB312" w:rsidR="00FE25D4" w:rsidRPr="00753C7F" w:rsidRDefault="00FE25D4" w:rsidP="00653959">
      <w:pPr>
        <w:pStyle w:val="Heading3"/>
        <w:rPr>
          <w:b/>
          <w:bCs/>
        </w:rPr>
      </w:pPr>
      <w:r w:rsidRPr="00753C7F">
        <w:rPr>
          <w:b/>
          <w:bCs/>
        </w:rPr>
        <w:t>Inequalities and End of Life Care</w:t>
      </w:r>
    </w:p>
    <w:p w14:paraId="4D3D4C7D" w14:textId="77777777" w:rsidR="00653959" w:rsidRDefault="00653959" w:rsidP="00FE25D4">
      <w:pPr>
        <w:rPr>
          <w:rFonts w:asciiTheme="majorHAnsi" w:hAnsiTheme="majorHAnsi" w:cstheme="majorHAnsi"/>
          <w:u w:val="single"/>
        </w:rPr>
      </w:pPr>
    </w:p>
    <w:p w14:paraId="31755CFA" w14:textId="72446609" w:rsidR="00653959" w:rsidRPr="00B8678C" w:rsidRDefault="00653959" w:rsidP="00653959">
      <w:pPr>
        <w:pStyle w:val="ListParagraph"/>
        <w:numPr>
          <w:ilvl w:val="0"/>
          <w:numId w:val="2"/>
        </w:numPr>
        <w:spacing w:after="160" w:line="259" w:lineRule="auto"/>
        <w:rPr>
          <w:rFonts w:cstheme="minorHAnsi"/>
        </w:rPr>
      </w:pPr>
      <w:r w:rsidRPr="00B8678C">
        <w:rPr>
          <w:rFonts w:cstheme="minorHAnsi"/>
        </w:rPr>
        <w:t xml:space="preserve">Those from marginalised communities are more likely to experience difficulties in all aspects of end-of-life care, from a disproportionate rate of life-limiting disease burden, as well as reduced access to palliative care </w:t>
      </w:r>
      <w:r w:rsidRPr="00B8678C">
        <w:rPr>
          <w:rFonts w:cstheme="minorHAnsi"/>
        </w:rPr>
        <w:fldChar w:fldCharType="begin"/>
      </w:r>
      <w:r w:rsidR="009D1348" w:rsidRPr="00B8678C">
        <w:rPr>
          <w:rFonts w:cstheme="minorHAnsi"/>
        </w:rPr>
        <w:instrText xml:space="preserve"> ADDIN EN.CITE &lt;EndNote&gt;&lt;Cite&gt;&lt;Author&gt;Crawley&lt;/Author&gt;&lt;Year&gt;2005&lt;/Year&gt;&lt;RecNum&gt;1493&lt;/RecNum&gt;&lt;DisplayText&gt;(Crawley, 2005)&lt;/DisplayText&gt;&lt;record&gt;&lt;rec-number&gt;1493&lt;/rec-number&gt;&lt;foreign-keys&gt;&lt;key app="EN" db-id="xs9axatw70vf2ze9vdmxt0skppvsfd0tst5z" timestamp="1696495246" guid="630f601c-2d3e-4d9c-a724-3f8e784dbacf"&gt;1493&lt;/key&gt;&lt;/foreign-keys&gt;&lt;ref-type name="Journal Article"&gt;17&lt;/ref-type&gt;&lt;contributors&gt;&lt;authors&gt;&lt;author&gt;Crawley, Lavera M&lt;/author&gt;&lt;/authors&gt;&lt;/contributors&gt;&lt;titles&gt;&lt;title&gt;Racial, cultural, and ethnic factors influencing end-of-life care&lt;/title&gt;&lt;secondary-title&gt;Journal of palliative medicine&lt;/secondary-title&gt;&lt;/titles&gt;&lt;periodical&gt;&lt;full-title&gt;Journal of palliative medicine&lt;/full-title&gt;&lt;/periodical&gt;&lt;pages&gt;s-58-s-69&lt;/pages&gt;&lt;volume&gt;8&lt;/volume&gt;&lt;number&gt;supplement 1&lt;/number&gt;&lt;dates&gt;&lt;year&gt;2005&lt;/year&gt;&lt;/dates&gt;&lt;isbn&gt;1096-6218&lt;/isbn&gt;&lt;urls&gt;&lt;/urls&gt;&lt;/record&gt;&lt;/Cite&gt;&lt;/EndNote&gt;</w:instrText>
      </w:r>
      <w:r w:rsidRPr="00B8678C">
        <w:rPr>
          <w:rFonts w:cstheme="minorHAnsi"/>
        </w:rPr>
        <w:fldChar w:fldCharType="separate"/>
      </w:r>
      <w:r w:rsidRPr="00B8678C">
        <w:rPr>
          <w:rFonts w:cstheme="minorHAnsi"/>
          <w:noProof/>
        </w:rPr>
        <w:t>(Crawley, 2005)</w:t>
      </w:r>
      <w:r w:rsidRPr="00B8678C">
        <w:rPr>
          <w:rFonts w:cstheme="minorHAnsi"/>
        </w:rPr>
        <w:fldChar w:fldCharType="end"/>
      </w:r>
    </w:p>
    <w:p w14:paraId="54200307" w14:textId="2F014A15" w:rsidR="00653959" w:rsidRPr="00B8678C" w:rsidRDefault="009D1348" w:rsidP="00653959">
      <w:pPr>
        <w:pStyle w:val="ListParagraph"/>
        <w:numPr>
          <w:ilvl w:val="0"/>
          <w:numId w:val="2"/>
        </w:numPr>
        <w:spacing w:after="160" w:line="259" w:lineRule="auto"/>
        <w:rPr>
          <w:rFonts w:cstheme="minorHAnsi"/>
        </w:rPr>
      </w:pPr>
      <w:r w:rsidRPr="00B8678C">
        <w:rPr>
          <w:rFonts w:cstheme="minorHAnsi"/>
        </w:rPr>
        <w:t xml:space="preserve">One hospice sought to address inequalities through establishing an equality steering committee to identify and meet the needs of underrepresented groups in the local community </w:t>
      </w:r>
      <w:r w:rsidR="00B8678C" w:rsidRPr="00B8678C">
        <w:rPr>
          <w:rFonts w:cstheme="minorHAnsi"/>
        </w:rPr>
        <w:fldChar w:fldCharType="begin"/>
      </w:r>
      <w:r w:rsidR="00D854CA">
        <w:rPr>
          <w:rFonts w:cstheme="minorHAnsi"/>
        </w:rPr>
        <w:instrText xml:space="preserve"> ADDIN EN.CITE &lt;EndNote&gt;&lt;Cite&gt;&lt;Author&gt;Lawrance&lt;/Author&gt;&lt;Year&gt;2020&lt;/Year&gt;&lt;RecNum&gt;1495&lt;/RecNum&gt;&lt;DisplayText&gt;(Lawrance, 2020)&lt;/DisplayText&gt;&lt;record&gt;&lt;rec-number&gt;1495&lt;/rec-number&gt;&lt;foreign-keys&gt;&lt;key app="EN" db-id="xs9axatw70vf2ze9vdmxt0skppvsfd0tst5z" timestamp="1696585062" guid="8aa3fbd2-e525-46d8-99fd-6d9926b50158"&gt;1495&lt;/key&gt;&lt;/foreign-keys&gt;&lt;ref-type name="Journal Article"&gt;17&lt;/ref-type&gt;&lt;contributors&gt;&lt;authors&gt;&lt;author&gt;Lawrance, Clare&lt;/author&gt;&lt;/authors&gt;&lt;/contributors&gt;&lt;titles&gt;&lt;title&gt;Death: a social disadvantage? How one hospice is addressing inequality at end of life&lt;/title&gt;&lt;secondary-title&gt;Primary Health Care&lt;/secondary-title&gt;&lt;/titles&gt;&lt;periodical&gt;&lt;full-title&gt;Primary Health Care&lt;/full-title&gt;&lt;/periodical&gt;&lt;volume&gt;30&lt;/volume&gt;&lt;number&gt;1&lt;/number&gt;&lt;dates&gt;&lt;year&gt;2020&lt;/year&gt;&lt;/dates&gt;&lt;isbn&gt;0264-5033&lt;/isbn&gt;&lt;urls&gt;&lt;/urls&gt;&lt;/record&gt;&lt;/Cite&gt;&lt;/EndNote&gt;</w:instrText>
      </w:r>
      <w:r w:rsidR="00B8678C" w:rsidRPr="00B8678C">
        <w:rPr>
          <w:rFonts w:cstheme="minorHAnsi"/>
        </w:rPr>
        <w:fldChar w:fldCharType="separate"/>
      </w:r>
      <w:r w:rsidR="00B8678C" w:rsidRPr="00B8678C">
        <w:rPr>
          <w:rFonts w:cstheme="minorHAnsi"/>
          <w:noProof/>
        </w:rPr>
        <w:t>(Lawrance, 2020)</w:t>
      </w:r>
      <w:r w:rsidR="00B8678C" w:rsidRPr="00B8678C">
        <w:rPr>
          <w:rFonts w:cstheme="minorHAnsi"/>
        </w:rPr>
        <w:fldChar w:fldCharType="end"/>
      </w:r>
    </w:p>
    <w:p w14:paraId="6B2100C0" w14:textId="261943BA" w:rsidR="00653959" w:rsidRPr="00D854CA" w:rsidRDefault="00B8678C" w:rsidP="00653959">
      <w:pPr>
        <w:pStyle w:val="ListParagraph"/>
        <w:numPr>
          <w:ilvl w:val="0"/>
          <w:numId w:val="2"/>
        </w:numPr>
        <w:spacing w:after="160" w:line="259" w:lineRule="auto"/>
        <w:rPr>
          <w:rFonts w:cstheme="minorHAnsi"/>
        </w:rPr>
      </w:pPr>
      <w:r w:rsidRPr="00B8678C">
        <w:rPr>
          <w:rFonts w:cstheme="minorHAnsi"/>
        </w:rPr>
        <w:t xml:space="preserve">Traveller and Roma communities are known to experience health inequalities. There has been little focus on palliative care in these communities despite the well-recognised inequalities of access to palliative care in other minority ethnic groups. </w:t>
      </w:r>
      <w:r w:rsidRPr="00B8678C">
        <w:rPr>
          <w:rFonts w:cstheme="minorHAnsi"/>
          <w:color w:val="000000" w:themeColor="text1"/>
          <w:shd w:val="clear" w:color="auto" w:fill="FFFFFF"/>
        </w:rPr>
        <w:t xml:space="preserve">A wide range of factors influence Gypsy, Traveller and Roma community access to palliative care </w:t>
      </w:r>
      <w:r w:rsidRPr="00B8678C">
        <w:rPr>
          <w:rFonts w:cstheme="minorHAnsi"/>
          <w:color w:val="000000" w:themeColor="text1"/>
          <w:shd w:val="clear" w:color="auto" w:fill="FFFFFF"/>
        </w:rPr>
        <w:fldChar w:fldCharType="begin"/>
      </w:r>
      <w:r w:rsidR="00D854CA">
        <w:rPr>
          <w:rFonts w:cstheme="minorHAnsi"/>
          <w:color w:val="000000" w:themeColor="text1"/>
          <w:shd w:val="clear" w:color="auto" w:fill="FFFFFF"/>
        </w:rPr>
        <w:instrText xml:space="preserve"> ADDIN EN.CITE &lt;EndNote&gt;&lt;Cite&gt;&lt;Author&gt;Dixon&lt;/Author&gt;&lt;Year&gt;2021&lt;/Year&gt;&lt;RecNum&gt;1496&lt;/RecNum&gt;&lt;DisplayText&gt;(Dixon&lt;style face="italic"&gt; et al.&lt;/style&gt;, 2021)&lt;/DisplayText&gt;&lt;record&gt;&lt;rec-number&gt;1496&lt;/rec-number&gt;&lt;foreign-keys&gt;&lt;key app="EN" db-id="xs9axatw70vf2ze9vdmxt0skppvsfd0tst5z" timestamp="1696585169" guid="77492f87-f06f-4418-9e9b-6cbb143caff6"&gt;1496&lt;/key&gt;&lt;/foreign-keys&gt;&lt;ref-type name="Journal Article"&gt;17&lt;/ref-type&gt;&lt;contributors&gt;&lt;authors&gt;&lt;author&gt;Dixon, Kathryn Charlotte&lt;/author&gt;&lt;author&gt;Ferris, Rebecca&lt;/author&gt;&lt;author&gt;Kuhn, Isla&lt;/author&gt;&lt;author&gt;Spathis, Anna&lt;/author&gt;&lt;author&gt;Barclay, Stephen&lt;/author&gt;&lt;/authors&gt;&lt;/contributors&gt;&lt;titles&gt;&lt;title&gt;Gypsy, Traveller and Roma experiences, views and needs in palliative and end of life care: A systematic literature review and narrative synthesis&lt;/title&gt;&lt;secondary-title&gt;BMJ Supportive &amp;amp; Palliative Care&lt;/secondary-title&gt;&lt;/titles&gt;&lt;periodical&gt;&lt;full-title&gt;BMJ Supportive &amp;amp; Palliative Care&lt;/full-title&gt;&lt;/periodical&gt;&lt;dates&gt;&lt;year&gt;2021&lt;/year&gt;&lt;/dates&gt;&lt;isbn&gt;2045-435X&lt;/isbn&gt;&lt;urls&gt;&lt;/urls&gt;&lt;/record&gt;&lt;/Cite&gt;&lt;/EndNote&gt;</w:instrText>
      </w:r>
      <w:r w:rsidRPr="00B8678C">
        <w:rPr>
          <w:rFonts w:cstheme="minorHAnsi"/>
          <w:color w:val="000000" w:themeColor="text1"/>
          <w:shd w:val="clear" w:color="auto" w:fill="FFFFFF"/>
        </w:rPr>
        <w:fldChar w:fldCharType="separate"/>
      </w:r>
      <w:r w:rsidRPr="00B8678C">
        <w:rPr>
          <w:rFonts w:cstheme="minorHAnsi"/>
          <w:noProof/>
          <w:color w:val="000000" w:themeColor="text1"/>
          <w:shd w:val="clear" w:color="auto" w:fill="FFFFFF"/>
        </w:rPr>
        <w:t>(Dixon</w:t>
      </w:r>
      <w:r w:rsidRPr="00B8678C">
        <w:rPr>
          <w:rFonts w:cstheme="minorHAnsi"/>
          <w:i/>
          <w:noProof/>
          <w:color w:val="000000" w:themeColor="text1"/>
          <w:shd w:val="clear" w:color="auto" w:fill="FFFFFF"/>
        </w:rPr>
        <w:t xml:space="preserve"> et al.</w:t>
      </w:r>
      <w:r w:rsidRPr="00B8678C">
        <w:rPr>
          <w:rFonts w:cstheme="minorHAnsi"/>
          <w:noProof/>
          <w:color w:val="000000" w:themeColor="text1"/>
          <w:shd w:val="clear" w:color="auto" w:fill="FFFFFF"/>
        </w:rPr>
        <w:t>, 2021)</w:t>
      </w:r>
      <w:r w:rsidRPr="00B8678C">
        <w:rPr>
          <w:rFonts w:cstheme="minorHAnsi"/>
          <w:color w:val="000000" w:themeColor="text1"/>
          <w:shd w:val="clear" w:color="auto" w:fill="FFFFFF"/>
        </w:rPr>
        <w:fldChar w:fldCharType="end"/>
      </w:r>
    </w:p>
    <w:p w14:paraId="3948DABC" w14:textId="47ED4FE8" w:rsidR="00D854CA" w:rsidRPr="00D854CA" w:rsidRDefault="00D854CA" w:rsidP="00653959">
      <w:pPr>
        <w:pStyle w:val="ListParagraph"/>
        <w:numPr>
          <w:ilvl w:val="0"/>
          <w:numId w:val="2"/>
        </w:numPr>
        <w:spacing w:after="160" w:line="259" w:lineRule="auto"/>
        <w:rPr>
          <w:rFonts w:cstheme="minorHAnsi"/>
        </w:rPr>
      </w:pPr>
      <w:r w:rsidRPr="00D854CA">
        <w:rPr>
          <w:rFonts w:cstheme="minorHAnsi"/>
        </w:rPr>
        <w:t>The NHS Long Term Plan commits to improving personalised palliative and end of life care for people of all ages and to address health inequity. The Local Government Association and Association of Directors of Adult Social Services’ guide emphasises the role of councils in this area</w:t>
      </w:r>
      <w:r>
        <w:rPr>
          <w:rFonts w:cstheme="minorHAnsi"/>
        </w:rPr>
        <w:t xml:space="preserve"> </w:t>
      </w:r>
      <w:r>
        <w:rPr>
          <w:rFonts w:cstheme="minorHAnsi"/>
        </w:rPr>
        <w:fldChar w:fldCharType="begin"/>
      </w:r>
      <w:r w:rsidR="003A2BCA">
        <w:rPr>
          <w:rFonts w:cstheme="minorHAnsi"/>
        </w:rPr>
        <w:instrText xml:space="preserve"> ADDIN EN.CITE &lt;EndNote&gt;&lt;Cite&gt;&lt;Author&gt;National Palliative and End of Life Care Partnership&lt;/Author&gt;&lt;Year&gt;2021&lt;/Year&gt;&lt;RecNum&gt;1497&lt;/RecNum&gt;&lt;DisplayText&gt;(National Palliative and End of Life Care Partnership, 2021)&lt;/DisplayText&gt;&lt;record&gt;&lt;rec-number&gt;1497&lt;/rec-number&gt;&lt;foreign-keys&gt;&lt;key app="EN" db-id="xs9axatw70vf2ze9vdmxt0skppvsfd0tst5z" timestamp="1696856326" guid="1974d24c-e266-411f-a320-bb389b4f1b62"&gt;1497&lt;/key&gt;&lt;/foreign-keys&gt;&lt;ref-type name="Government Document"&gt;46&lt;/ref-type&gt;&lt;contributors&gt;&lt;authors&gt;&lt;author&gt;National Palliative and End of Life Care Partnership, &lt;/author&gt;&lt;/authors&gt;&lt;secondary-authors&gt;&lt;author&gt;National Palliative and End of Life Care Partnership&lt;/author&gt;&lt;/secondary-authors&gt;&lt;/contributors&gt;&lt;titles&gt;&lt;title&gt;Ambitions for Palliative and End of Life care: A national framework for local action 2021–2026&lt;/title&gt;&lt;/titles&gt;&lt;dates&gt;&lt;year&gt;2021&lt;/year&gt;&lt;/dates&gt;&lt;pub-location&gt;London&lt;/pub-location&gt;&lt;urls&gt;&lt;/urls&gt;&lt;/record&gt;&lt;/Cite&gt;&lt;/EndNote&gt;</w:instrText>
      </w:r>
      <w:r>
        <w:rPr>
          <w:rFonts w:cstheme="minorHAnsi"/>
        </w:rPr>
        <w:fldChar w:fldCharType="separate"/>
      </w:r>
      <w:r>
        <w:rPr>
          <w:rFonts w:cstheme="minorHAnsi"/>
          <w:noProof/>
        </w:rPr>
        <w:t>(National Palliative and End of Life Care Partnership, 2021)</w:t>
      </w:r>
      <w:r>
        <w:rPr>
          <w:rFonts w:cstheme="minorHAnsi"/>
        </w:rPr>
        <w:fldChar w:fldCharType="end"/>
      </w:r>
    </w:p>
    <w:p w14:paraId="6C26C474" w14:textId="77777777" w:rsidR="00653959" w:rsidRPr="00B8678C" w:rsidRDefault="00653959" w:rsidP="00653959">
      <w:pPr>
        <w:rPr>
          <w:rFonts w:asciiTheme="minorHAnsi" w:hAnsiTheme="minorHAnsi" w:cstheme="minorHAnsi"/>
          <w:b/>
          <w:bCs/>
        </w:rPr>
      </w:pPr>
      <w:r w:rsidRPr="00B8678C">
        <w:rPr>
          <w:rFonts w:asciiTheme="minorHAnsi" w:hAnsiTheme="minorHAnsi" w:cstheme="minorHAnsi"/>
          <w:b/>
          <w:bCs/>
        </w:rPr>
        <w:t>The main recommendations put forward by the above papers include:</w:t>
      </w:r>
    </w:p>
    <w:p w14:paraId="264B75FA" w14:textId="77777777" w:rsidR="00653959" w:rsidRPr="006A51B5" w:rsidRDefault="00653959" w:rsidP="00653959">
      <w:pPr>
        <w:rPr>
          <w:rFonts w:asciiTheme="majorHAnsi" w:hAnsiTheme="majorHAnsi" w:cstheme="majorHAnsi"/>
          <w:color w:val="000000" w:themeColor="text1"/>
        </w:rPr>
      </w:pPr>
    </w:p>
    <w:p w14:paraId="3E6BE71F" w14:textId="469E7835" w:rsidR="00653959" w:rsidRPr="00B8678C" w:rsidRDefault="00B8678C" w:rsidP="00FE25D4">
      <w:pPr>
        <w:pStyle w:val="ListParagraph"/>
        <w:numPr>
          <w:ilvl w:val="0"/>
          <w:numId w:val="3"/>
        </w:numPr>
        <w:spacing w:after="160" w:line="259" w:lineRule="auto"/>
        <w:rPr>
          <w:rFonts w:cstheme="minorHAnsi"/>
          <w:b/>
          <w:bCs/>
        </w:rPr>
      </w:pPr>
      <w:r w:rsidRPr="00B8678C">
        <w:rPr>
          <w:rFonts w:cstheme="minorHAnsi"/>
          <w:b/>
          <w:bCs/>
        </w:rPr>
        <w:t>The involvement of clinical staff, particularly nurses, as well as local equality engagement officers and representatives from marginalised groups, supports the development of service improvement plans.</w:t>
      </w:r>
    </w:p>
    <w:p w14:paraId="7F826FDF" w14:textId="337E83D6" w:rsidR="00B8678C" w:rsidRPr="00B8678C" w:rsidRDefault="00B8678C" w:rsidP="00FE25D4">
      <w:pPr>
        <w:pStyle w:val="ListParagraph"/>
        <w:numPr>
          <w:ilvl w:val="0"/>
          <w:numId w:val="3"/>
        </w:numPr>
        <w:spacing w:after="160" w:line="259" w:lineRule="auto"/>
        <w:rPr>
          <w:rFonts w:cstheme="minorHAnsi"/>
          <w:b/>
          <w:bCs/>
        </w:rPr>
      </w:pPr>
      <w:r w:rsidRPr="00B8678C">
        <w:rPr>
          <w:rFonts w:cstheme="minorHAnsi"/>
          <w:b/>
          <w:bCs/>
          <w:shd w:val="clear" w:color="auto" w:fill="FFFFFF"/>
        </w:rPr>
        <w:t>Community diversity requires sensitive and highly individualised approaches to patient care.</w:t>
      </w:r>
    </w:p>
    <w:p w14:paraId="21ED2E93" w14:textId="06882660" w:rsidR="00B8678C" w:rsidRPr="00B8678C" w:rsidRDefault="00B8678C" w:rsidP="00B8678C">
      <w:pPr>
        <w:pStyle w:val="ListParagraph"/>
        <w:numPr>
          <w:ilvl w:val="0"/>
          <w:numId w:val="3"/>
        </w:numPr>
        <w:rPr>
          <w:rFonts w:cstheme="minorHAnsi"/>
          <w:b/>
          <w:bCs/>
        </w:rPr>
      </w:pPr>
      <w:r w:rsidRPr="00B8678C">
        <w:rPr>
          <w:rFonts w:cstheme="minorHAnsi"/>
          <w:b/>
          <w:bCs/>
        </w:rPr>
        <w:t xml:space="preserve">Distinct health beliefs regarding superstitions around illness, personal care, death rituals and bereavement must be considered within conversations amongst diverse </w:t>
      </w:r>
      <w:proofErr w:type="gramStart"/>
      <w:r w:rsidRPr="00B8678C">
        <w:rPr>
          <w:rFonts w:cstheme="minorHAnsi"/>
          <w:b/>
          <w:bCs/>
        </w:rPr>
        <w:t>communities</w:t>
      </w:r>
      <w:proofErr w:type="gramEnd"/>
    </w:p>
    <w:p w14:paraId="21900161" w14:textId="77777777" w:rsidR="00A04B1C" w:rsidRDefault="00B8678C" w:rsidP="00A04B1C">
      <w:pPr>
        <w:pStyle w:val="ListParagraph"/>
        <w:numPr>
          <w:ilvl w:val="0"/>
          <w:numId w:val="3"/>
        </w:numPr>
        <w:rPr>
          <w:rFonts w:cstheme="minorHAnsi"/>
          <w:b/>
          <w:bCs/>
        </w:rPr>
      </w:pPr>
      <w:r w:rsidRPr="00B8678C">
        <w:rPr>
          <w:rFonts w:cstheme="minorHAnsi"/>
          <w:b/>
          <w:bCs/>
        </w:rPr>
        <w:t>Practical barriers to non-community healthcare provision include communication difficulties, limited awareness of and access to services, tensions between patients and healthcare professionals and lack of training in delivering culturally appropriate care.</w:t>
      </w:r>
    </w:p>
    <w:p w14:paraId="13020306" w14:textId="5EB1F33A" w:rsidR="00FE25D4" w:rsidRDefault="00A04B1C" w:rsidP="00A04B1C">
      <w:pPr>
        <w:pStyle w:val="ListParagraph"/>
        <w:numPr>
          <w:ilvl w:val="0"/>
          <w:numId w:val="3"/>
        </w:numPr>
        <w:rPr>
          <w:rFonts w:cstheme="minorHAnsi"/>
          <w:b/>
          <w:bCs/>
        </w:rPr>
      </w:pPr>
      <w:r w:rsidRPr="00A04B1C">
        <w:rPr>
          <w:rFonts w:cstheme="minorHAnsi"/>
          <w:b/>
          <w:bCs/>
        </w:rPr>
        <w:lastRenderedPageBreak/>
        <w:t>Establishing a</w:t>
      </w:r>
      <w:r w:rsidR="00FE25D4" w:rsidRPr="00A04B1C">
        <w:rPr>
          <w:rFonts w:cstheme="minorHAnsi"/>
          <w:b/>
          <w:bCs/>
        </w:rPr>
        <w:t xml:space="preserve"> committee to promote fairer access to palliative care services by raising awareness of equality issues, removing </w:t>
      </w:r>
      <w:proofErr w:type="gramStart"/>
      <w:r w:rsidR="00FE25D4" w:rsidRPr="00A04B1C">
        <w:rPr>
          <w:rFonts w:cstheme="minorHAnsi"/>
          <w:b/>
          <w:bCs/>
        </w:rPr>
        <w:t>barriers</w:t>
      </w:r>
      <w:proofErr w:type="gramEnd"/>
      <w:r w:rsidR="00FE25D4" w:rsidRPr="00A04B1C">
        <w:rPr>
          <w:rFonts w:cstheme="minorHAnsi"/>
          <w:b/>
          <w:bCs/>
        </w:rPr>
        <w:t xml:space="preserve"> and addressing the challenges in achieving high-quality, end of life care. </w:t>
      </w:r>
    </w:p>
    <w:p w14:paraId="7603A046" w14:textId="79309771" w:rsidR="00255F71" w:rsidRPr="00255F71" w:rsidRDefault="00255F71" w:rsidP="00A04B1C">
      <w:pPr>
        <w:pStyle w:val="ListParagraph"/>
        <w:numPr>
          <w:ilvl w:val="0"/>
          <w:numId w:val="3"/>
        </w:numPr>
        <w:rPr>
          <w:rFonts w:cstheme="minorHAnsi"/>
          <w:b/>
          <w:bCs/>
        </w:rPr>
      </w:pPr>
      <w:r w:rsidRPr="00255F71">
        <w:rPr>
          <w:rFonts w:cstheme="minorHAnsi"/>
          <w:b/>
          <w:bCs/>
        </w:rPr>
        <w:t xml:space="preserve">Personalised care planning, shared records, </w:t>
      </w:r>
      <w:proofErr w:type="gramStart"/>
      <w:r w:rsidRPr="00255F71">
        <w:rPr>
          <w:rFonts w:cstheme="minorHAnsi"/>
          <w:b/>
          <w:bCs/>
        </w:rPr>
        <w:t>evidence</w:t>
      </w:r>
      <w:proofErr w:type="gramEnd"/>
      <w:r w:rsidRPr="00255F71">
        <w:rPr>
          <w:rFonts w:cstheme="minorHAnsi"/>
          <w:b/>
          <w:bCs/>
        </w:rPr>
        <w:t xml:space="preserve"> and information, involving, supporting and caring for those important to the dying person, education and training, 24/7 access, systems of EOL care are best designed in collaboration with people who have personal and professional experience of palliative and EOL care.</w:t>
      </w:r>
    </w:p>
    <w:p w14:paraId="4CC1DC5A" w14:textId="3736360A" w:rsidR="00FE25D4" w:rsidRPr="00FE25D4" w:rsidRDefault="00FE25D4">
      <w:pPr>
        <w:rPr>
          <w:rFonts w:asciiTheme="majorHAnsi" w:hAnsiTheme="majorHAnsi" w:cstheme="majorHAnsi"/>
        </w:rPr>
      </w:pPr>
    </w:p>
    <w:p w14:paraId="6FF6D9FC" w14:textId="5190C6BB" w:rsidR="00FE25D4" w:rsidRPr="00FE25D4" w:rsidRDefault="00FE25D4" w:rsidP="00FE25D4">
      <w:pPr>
        <w:rPr>
          <w:rFonts w:asciiTheme="majorHAnsi" w:hAnsiTheme="majorHAnsi" w:cstheme="majorHAnsi"/>
        </w:rPr>
      </w:pPr>
    </w:p>
    <w:p w14:paraId="354521A7" w14:textId="25D51B53" w:rsidR="001F63BE" w:rsidRDefault="00FE25D4" w:rsidP="00753C7F">
      <w:pPr>
        <w:pStyle w:val="Heading3"/>
        <w:rPr>
          <w:b/>
          <w:bCs/>
        </w:rPr>
      </w:pPr>
      <w:r w:rsidRPr="00753C7F">
        <w:rPr>
          <w:b/>
          <w:bCs/>
        </w:rPr>
        <w:t xml:space="preserve">Social Factors affecting End of Life Care </w:t>
      </w:r>
    </w:p>
    <w:p w14:paraId="5CC619EA" w14:textId="77777777" w:rsidR="001C64FF" w:rsidRPr="001C64FF" w:rsidRDefault="001C64FF" w:rsidP="001C64FF"/>
    <w:p w14:paraId="605436AC" w14:textId="35F5C0B2" w:rsidR="001F63BE" w:rsidRPr="003A2BCA" w:rsidRDefault="001F63BE" w:rsidP="001F63BE">
      <w:pPr>
        <w:pStyle w:val="ListParagraph"/>
        <w:numPr>
          <w:ilvl w:val="0"/>
          <w:numId w:val="4"/>
        </w:numPr>
        <w:rPr>
          <w:rFonts w:asciiTheme="majorHAnsi" w:hAnsiTheme="majorHAnsi" w:cstheme="majorHAnsi"/>
          <w:b/>
          <w:bCs/>
          <w:sz w:val="28"/>
          <w:szCs w:val="28"/>
        </w:rPr>
      </w:pPr>
      <w:r>
        <w:rPr>
          <w:rFonts w:cstheme="minorHAnsi"/>
        </w:rPr>
        <w:t xml:space="preserve">The social, religious and cultural views of medical staff can have a huge impact on the type of end-of-life offered, and their willingness to make ethically ‘controversial’ decisions on their patients’ behalf </w:t>
      </w:r>
      <w:r>
        <w:rPr>
          <w:rFonts w:cstheme="minorHAnsi"/>
        </w:rPr>
        <w:fldChar w:fldCharType="begin"/>
      </w:r>
      <w:r w:rsidR="00B8678C">
        <w:rPr>
          <w:rFonts w:cstheme="minorHAnsi"/>
        </w:rPr>
        <w:instrText xml:space="preserve"> ADDIN EN.CITE &lt;EndNote&gt;&lt;Cite&gt;&lt;Author&gt;Seale&lt;/Author&gt;&lt;Year&gt;2010&lt;/Year&gt;&lt;RecNum&gt;1494&lt;/RecNum&gt;&lt;DisplayText&gt;(Seale, 2010)&lt;/DisplayText&gt;&lt;record&gt;&lt;rec-number&gt;1494&lt;/rec-number&gt;&lt;foreign-keys&gt;&lt;key app="EN" db-id="xs9axatw70vf2ze9vdmxt0skppvsfd0tst5z" timestamp="1696581453" guid="8bc9c478-23f0-4399-b87e-14c76819a70d"&gt;1494&lt;/key&gt;&lt;/foreign-keys&gt;&lt;ref-type name="Journal Article"&gt;17&lt;/ref-type&gt;&lt;contributors&gt;&lt;authors&gt;&lt;author&gt;Seale, Clive&lt;/author&gt;&lt;/authors&gt;&lt;/contributors&gt;&lt;titles&gt;&lt;title&gt;The role of doctors&amp;apos; religious faith and ethnicity in taking ethically controversial decisions during end-of-life care&lt;/title&gt;&lt;secondary-title&gt;Journal of Medical Ethics&lt;/secondary-title&gt;&lt;/titles&gt;&lt;periodical&gt;&lt;full-title&gt;Journal of Medical Ethics&lt;/full-title&gt;&lt;/periodical&gt;&lt;pages&gt;677-682&lt;/pages&gt;&lt;volume&gt;36&lt;/volume&gt;&lt;number&gt;11&lt;/number&gt;&lt;dates&gt;&lt;year&gt;2010&lt;/year&gt;&lt;/dates&gt;&lt;isbn&gt;0306-6800&lt;/isbn&gt;&lt;urls&gt;&lt;/urls&gt;&lt;/record&gt;&lt;/Cite&gt;&lt;/EndNote&gt;</w:instrText>
      </w:r>
      <w:r>
        <w:rPr>
          <w:rFonts w:cstheme="minorHAnsi"/>
        </w:rPr>
        <w:fldChar w:fldCharType="separate"/>
      </w:r>
      <w:r>
        <w:rPr>
          <w:rFonts w:cstheme="minorHAnsi"/>
          <w:noProof/>
        </w:rPr>
        <w:t>(Seale, 2010)</w:t>
      </w:r>
      <w:r>
        <w:rPr>
          <w:rFonts w:cstheme="minorHAnsi"/>
        </w:rPr>
        <w:fldChar w:fldCharType="end"/>
      </w:r>
    </w:p>
    <w:p w14:paraId="416C947C" w14:textId="35C8BEFD" w:rsidR="003A2BCA" w:rsidRPr="0038045B" w:rsidRDefault="003A2BCA" w:rsidP="001F63BE">
      <w:pPr>
        <w:pStyle w:val="ListParagraph"/>
        <w:numPr>
          <w:ilvl w:val="0"/>
          <w:numId w:val="4"/>
        </w:numPr>
        <w:rPr>
          <w:rFonts w:cstheme="minorHAnsi"/>
          <w:b/>
          <w:bCs/>
          <w:sz w:val="28"/>
          <w:szCs w:val="28"/>
        </w:rPr>
      </w:pPr>
      <w:r w:rsidRPr="003A2BCA">
        <w:rPr>
          <w:rFonts w:cstheme="minorHAnsi"/>
          <w:color w:val="000000" w:themeColor="text1"/>
        </w:rPr>
        <w:t xml:space="preserve">Those experiencing socioeconomic deprivation have poorer quality of health throughout their life course which can result in poorer quality of death – with decreased access to palliative care services, greater use of acute care, and reduced access to preferred place of care compared with patients from less deprived populations. </w:t>
      </w:r>
      <w:r w:rsidRPr="003A2BCA">
        <w:rPr>
          <w:rFonts w:cstheme="minorHAnsi"/>
          <w:color w:val="000000" w:themeColor="text1"/>
          <w:shd w:val="clear" w:color="auto" w:fill="FFFFFF"/>
        </w:rPr>
        <w:t>Three global themes were identified: 1) multi-dimensional symptom burden, 2) preferences and planning and 3) health and social care interactions at the end of life</w:t>
      </w:r>
      <w:r>
        <w:rPr>
          <w:rFonts w:cstheme="minorHAnsi"/>
          <w:color w:val="000000" w:themeColor="text1"/>
          <w:shd w:val="clear" w:color="auto" w:fill="FFFFFF"/>
        </w:rPr>
        <w:t xml:space="preserve"> </w:t>
      </w:r>
      <w:r>
        <w:rPr>
          <w:rFonts w:cstheme="minorHAnsi"/>
          <w:color w:val="000000" w:themeColor="text1"/>
          <w:shd w:val="clear" w:color="auto" w:fill="FFFFFF"/>
        </w:rPr>
        <w:fldChar w:fldCharType="begin"/>
      </w:r>
      <w:r>
        <w:rPr>
          <w:rFonts w:cstheme="minorHAnsi"/>
          <w:color w:val="000000" w:themeColor="text1"/>
          <w:shd w:val="clear" w:color="auto" w:fill="FFFFFF"/>
        </w:rPr>
        <w:instrText xml:space="preserve"> ADDIN EN.CITE &lt;EndNote&gt;&lt;Cite&gt;&lt;Author&gt;Bowers&lt;/Author&gt;&lt;Year&gt;2022&lt;/Year&gt;&lt;RecNum&gt;1498&lt;/RecNum&gt;&lt;DisplayText&gt;(Bowers&lt;style face="italic"&gt; et al.&lt;/style&gt;, 2022)&lt;/DisplayText&gt;&lt;record&gt;&lt;rec-number&gt;1498&lt;/rec-number&gt;&lt;foreign-keys&gt;&lt;key app="EN" db-id="xs9axatw70vf2ze9vdmxt0skppvsfd0tst5z" timestamp="1696856537" guid="68bd0cbe-8aae-43b7-a5f4-e0066eca423d"&gt;1498&lt;/key&gt;&lt;/foreign-keys&gt;&lt;ref-type name="Journal Article"&gt;17&lt;/ref-type&gt;&lt;contributors&gt;&lt;authors&gt;&lt;author&gt;Bowers, Sarah P&lt;/author&gt;&lt;author&gt;Chin, Ming&lt;/author&gt;&lt;author&gt;O’Riordan, Maire&lt;/author&gt;&lt;author&gt;Carduff, Emma&lt;/author&gt;&lt;/authors&gt;&lt;/contributors&gt;&lt;titles&gt;&lt;title&gt;The end of life experiences of people living with socio-economic deprivation in the developed world: an integrative review&lt;/title&gt;&lt;secondary-title&gt;BMC Palliative Care&lt;/secondary-title&gt;&lt;/titles&gt;&lt;periodical&gt;&lt;full-title&gt;BMC Palliative Care&lt;/full-title&gt;&lt;/periodical&gt;&lt;pages&gt;193&lt;/pages&gt;&lt;volume&gt;21&lt;/volume&gt;&lt;number&gt;1&lt;/number&gt;&lt;dates&gt;&lt;year&gt;2022&lt;/year&gt;&lt;/dates&gt;&lt;isbn&gt;1472-684X&lt;/isbn&gt;&lt;urls&gt;&lt;/urls&gt;&lt;/record&gt;&lt;/Cite&gt;&lt;/EndNote&gt;</w:instrText>
      </w:r>
      <w:r>
        <w:rPr>
          <w:rFonts w:cstheme="minorHAnsi"/>
          <w:color w:val="000000" w:themeColor="text1"/>
          <w:shd w:val="clear" w:color="auto" w:fill="FFFFFF"/>
        </w:rPr>
        <w:fldChar w:fldCharType="separate"/>
      </w:r>
      <w:r>
        <w:rPr>
          <w:rFonts w:cstheme="minorHAnsi"/>
          <w:noProof/>
          <w:color w:val="000000" w:themeColor="text1"/>
          <w:shd w:val="clear" w:color="auto" w:fill="FFFFFF"/>
        </w:rPr>
        <w:t>(Bowers</w:t>
      </w:r>
      <w:r w:rsidRPr="003A2BCA">
        <w:rPr>
          <w:rFonts w:cstheme="minorHAnsi"/>
          <w:i/>
          <w:noProof/>
          <w:color w:val="000000" w:themeColor="text1"/>
          <w:shd w:val="clear" w:color="auto" w:fill="FFFFFF"/>
        </w:rPr>
        <w:t xml:space="preserve"> et al.</w:t>
      </w:r>
      <w:r>
        <w:rPr>
          <w:rFonts w:cstheme="minorHAnsi"/>
          <w:noProof/>
          <w:color w:val="000000" w:themeColor="text1"/>
          <w:shd w:val="clear" w:color="auto" w:fill="FFFFFF"/>
        </w:rPr>
        <w:t>, 2022)</w:t>
      </w:r>
      <w:r>
        <w:rPr>
          <w:rFonts w:cstheme="minorHAnsi"/>
          <w:color w:val="000000" w:themeColor="text1"/>
          <w:shd w:val="clear" w:color="auto" w:fill="FFFFFF"/>
        </w:rPr>
        <w:fldChar w:fldCharType="end"/>
      </w:r>
    </w:p>
    <w:p w14:paraId="1AC90B94" w14:textId="47E51077" w:rsidR="0038045B" w:rsidRPr="00F6601B" w:rsidRDefault="0038045B" w:rsidP="001F63BE">
      <w:pPr>
        <w:pStyle w:val="ListParagraph"/>
        <w:numPr>
          <w:ilvl w:val="0"/>
          <w:numId w:val="4"/>
        </w:numPr>
        <w:rPr>
          <w:rFonts w:cstheme="minorHAnsi"/>
          <w:b/>
          <w:bCs/>
          <w:sz w:val="28"/>
          <w:szCs w:val="28"/>
        </w:rPr>
      </w:pPr>
      <w:r w:rsidRPr="0038045B">
        <w:rPr>
          <w:rFonts w:cstheme="minorHAnsi"/>
          <w:color w:val="000000" w:themeColor="text1"/>
          <w:shd w:val="clear" w:color="auto" w:fill="FFFFFF"/>
        </w:rPr>
        <w:t>Efforts to tackle socioeconomic inequities in access to palliative and end-of-life care require comprehensive understanding about the extent of and reasons for inequities. Most research on this topic examines differences in receipt of care</w:t>
      </w:r>
      <w:r>
        <w:rPr>
          <w:rFonts w:cstheme="minorHAnsi"/>
          <w:color w:val="000000" w:themeColor="text1"/>
          <w:shd w:val="clear" w:color="auto" w:fill="FFFFFF"/>
        </w:rPr>
        <w:t>, comprising</w:t>
      </w:r>
      <w:r w:rsidRPr="0038045B">
        <w:rPr>
          <w:rFonts w:cstheme="minorHAnsi"/>
          <w:color w:val="000000" w:themeColor="text1"/>
          <w:shd w:val="clear" w:color="auto" w:fill="FFFFFF"/>
        </w:rPr>
        <w:t xml:space="preserve"> four overarching themes: identifying needs; taking action; local conditions; and receiving care</w:t>
      </w:r>
      <w:r w:rsidR="006F0BE6">
        <w:rPr>
          <w:rFonts w:cstheme="minorHAnsi"/>
          <w:color w:val="000000" w:themeColor="text1"/>
          <w:shd w:val="clear" w:color="auto" w:fill="FFFFFF"/>
        </w:rPr>
        <w:t xml:space="preserve"> </w:t>
      </w:r>
      <w:r>
        <w:rPr>
          <w:rFonts w:cstheme="minorHAnsi"/>
          <w:color w:val="000000" w:themeColor="text1"/>
          <w:shd w:val="clear" w:color="auto" w:fill="FFFFFF"/>
        </w:rPr>
        <w:fldChar w:fldCharType="begin"/>
      </w:r>
      <w:r w:rsidR="00F6601B">
        <w:rPr>
          <w:rFonts w:cstheme="minorHAnsi"/>
          <w:color w:val="000000" w:themeColor="text1"/>
          <w:shd w:val="clear" w:color="auto" w:fill="FFFFFF"/>
        </w:rPr>
        <w:instrText xml:space="preserve"> ADDIN EN.CITE &lt;EndNote&gt;&lt;Cite&gt;&lt;Author&gt;French&lt;/Author&gt;&lt;Year&gt;2021&lt;/Year&gt;&lt;RecNum&gt;1499&lt;/RecNum&gt;&lt;DisplayText&gt;(French&lt;style face="italic"&gt; et al.&lt;/style&gt;, 2021)&lt;/DisplayText&gt;&lt;record&gt;&lt;rec-number&gt;1499&lt;/rec-number&gt;&lt;foreign-keys&gt;&lt;key app="EN" db-id="xs9axatw70vf2ze9vdmxt0skppvsfd0tst5z" timestamp="1696856892" guid="e71099c1-181c-49d4-a534-c83d3b223c5e"&gt;1499&lt;/key&gt;&lt;/foreign-keys&gt;&lt;ref-type name="Journal Article"&gt;17&lt;/ref-type&gt;&lt;contributors&gt;&lt;authors&gt;&lt;author&gt;French, Maddy&lt;/author&gt;&lt;author&gt;Keegan, Thomas&lt;/author&gt;&lt;author&gt;Anestis, Eleftherios&lt;/author&gt;&lt;author&gt;Preston, Nancy&lt;/author&gt;&lt;/authors&gt;&lt;/contributors&gt;&lt;titles&gt;&lt;title&gt;Exploring socioeconomic inequities in access to palliative and end-of-life care in the UK: a narrative synthesis&lt;/title&gt;&lt;secondary-title&gt;BMC palliative care&lt;/secondary-title&gt;&lt;/titles&gt;&lt;periodical&gt;&lt;full-title&gt;BMC Palliative Care&lt;/full-title&gt;&lt;/periodical&gt;&lt;pages&gt;1-20&lt;/pages&gt;&lt;volume&gt;20&lt;/volume&gt;&lt;dates&gt;&lt;year&gt;2021&lt;/year&gt;&lt;/dates&gt;&lt;urls&gt;&lt;/urls&gt;&lt;/record&gt;&lt;/Cite&gt;&lt;/EndNote&gt;</w:instrText>
      </w:r>
      <w:r>
        <w:rPr>
          <w:rFonts w:cstheme="minorHAnsi"/>
          <w:color w:val="000000" w:themeColor="text1"/>
          <w:shd w:val="clear" w:color="auto" w:fill="FFFFFF"/>
        </w:rPr>
        <w:fldChar w:fldCharType="separate"/>
      </w:r>
      <w:r>
        <w:rPr>
          <w:rFonts w:cstheme="minorHAnsi"/>
          <w:noProof/>
          <w:color w:val="000000" w:themeColor="text1"/>
          <w:shd w:val="clear" w:color="auto" w:fill="FFFFFF"/>
        </w:rPr>
        <w:t>(French</w:t>
      </w:r>
      <w:r w:rsidRPr="0038045B">
        <w:rPr>
          <w:rFonts w:cstheme="minorHAnsi"/>
          <w:i/>
          <w:noProof/>
          <w:color w:val="000000" w:themeColor="text1"/>
          <w:shd w:val="clear" w:color="auto" w:fill="FFFFFF"/>
        </w:rPr>
        <w:t xml:space="preserve"> et al.</w:t>
      </w:r>
      <w:r>
        <w:rPr>
          <w:rFonts w:cstheme="minorHAnsi"/>
          <w:noProof/>
          <w:color w:val="000000" w:themeColor="text1"/>
          <w:shd w:val="clear" w:color="auto" w:fill="FFFFFF"/>
        </w:rPr>
        <w:t>, 2021)</w:t>
      </w:r>
      <w:r>
        <w:rPr>
          <w:rFonts w:cstheme="minorHAnsi"/>
          <w:color w:val="000000" w:themeColor="text1"/>
          <w:shd w:val="clear" w:color="auto" w:fill="FFFFFF"/>
        </w:rPr>
        <w:fldChar w:fldCharType="end"/>
      </w:r>
    </w:p>
    <w:p w14:paraId="7E7F5FC1" w14:textId="3C5D788E" w:rsidR="00F6601B" w:rsidRPr="00F6601B" w:rsidRDefault="00F6601B" w:rsidP="001F63BE">
      <w:pPr>
        <w:pStyle w:val="ListParagraph"/>
        <w:numPr>
          <w:ilvl w:val="0"/>
          <w:numId w:val="4"/>
        </w:numPr>
        <w:rPr>
          <w:rFonts w:cstheme="minorHAnsi"/>
          <w:b/>
          <w:bCs/>
          <w:sz w:val="28"/>
          <w:szCs w:val="28"/>
        </w:rPr>
      </w:pPr>
      <w:r w:rsidRPr="00F6601B">
        <w:rPr>
          <w:rFonts w:cstheme="minorHAnsi"/>
          <w:color w:val="000000" w:themeColor="text1"/>
          <w:shd w:val="clear" w:color="auto" w:fill="FFFFFF"/>
        </w:rPr>
        <w:t>Being homeless or vulnerably housed is associated with death at a young age, frequently related to medical problems complicated by drug or alcohol dependence. Homeless people experience high symptom burden at the end of life, yet palliative care service use is limited. This research documents growing concern that many homeless people are dying in unsupported, unacceptable situations. It highlights the complexities of identifying who is palliative and lack of appropriate places of care for people who are homeless with high support needs, particularly in combination with substance misuse issues. Due to the lack of alternatives, homeless people with advanced ill health often remain in hostels. Conflict between the recovery-focused nature of many services and the realities of health and illness for often young homeless people result in a lack of person-centred care</w:t>
      </w:r>
      <w:r>
        <w:rPr>
          <w:rFonts w:cstheme="minorHAnsi"/>
          <w:color w:val="000000" w:themeColor="text1"/>
          <w:shd w:val="clear" w:color="auto" w:fill="FFFFFF"/>
        </w:rPr>
        <w:t xml:space="preserve"> </w:t>
      </w:r>
      <w:r>
        <w:rPr>
          <w:rFonts w:cstheme="minorHAnsi"/>
          <w:color w:val="000000" w:themeColor="text1"/>
          <w:shd w:val="clear" w:color="auto" w:fill="FFFFFF"/>
        </w:rPr>
        <w:fldChar w:fldCharType="begin"/>
      </w:r>
      <w:r w:rsidR="00CC5E6C">
        <w:rPr>
          <w:rFonts w:cstheme="minorHAnsi"/>
          <w:color w:val="000000" w:themeColor="text1"/>
          <w:shd w:val="clear" w:color="auto" w:fill="FFFFFF"/>
        </w:rPr>
        <w:instrText xml:space="preserve"> ADDIN EN.CITE &lt;EndNote&gt;&lt;Cite&gt;&lt;Author&gt;Shulman&lt;/Author&gt;&lt;Year&gt;2018&lt;/Year&gt;&lt;RecNum&gt;1500&lt;/RecNum&gt;&lt;DisplayText&gt;(Shulman&lt;style face="italic"&gt; et al.&lt;/style&gt;, 2018)&lt;/DisplayText&gt;&lt;record&gt;&lt;rec-number&gt;1500&lt;/rec-number&gt;&lt;foreign-keys&gt;&lt;key app="EN" db-id="xs9axatw70vf2ze9vdmxt0skppvsfd0tst5z" timestamp="1696857562" guid="0079858b-aba8-4614-85fd-15df2350c688"&gt;1500&lt;/key&gt;&lt;/foreign-keys&gt;&lt;ref-type name="Journal Article"&gt;17&lt;/ref-type&gt;&lt;contributors&gt;&lt;authors&gt;&lt;author&gt;Shulman, Caroline&lt;/author&gt;&lt;author&gt;Hudson, Briony F&lt;/author&gt;&lt;author&gt;Low, Joseph&lt;/author&gt;&lt;author&gt;Hewett, Nigel&lt;/author&gt;&lt;author&gt;Daley, Julian&lt;/author&gt;&lt;author&gt;Kennedy, Peter&lt;/author&gt;&lt;author&gt;Davis, Sarah&lt;/author&gt;&lt;author&gt;Brophy, Niamh&lt;/author&gt;&lt;author&gt;Howard, Diana&lt;/author&gt;&lt;author&gt;Vivat, Bella&lt;/author&gt;&lt;/authors&gt;&lt;/contributors&gt;&lt;titles&gt;&lt;title&gt;End-of-life care for homeless people: a qualitative analysis exploring the challenges to access and provision of palliative care&lt;/title&gt;&lt;secondary-title&gt;Palliative medicine&lt;/secondary-title&gt;&lt;/titles&gt;&lt;periodical&gt;&lt;full-title&gt;Palliative medicine&lt;/full-title&gt;&lt;/periodical&gt;&lt;pages&gt;36-45&lt;/pages&gt;&lt;volume&gt;32&lt;/volume&gt;&lt;number&gt;1&lt;/number&gt;&lt;dates&gt;&lt;year&gt;2018&lt;/year&gt;&lt;/dates&gt;&lt;isbn&gt;0269-2163&lt;/isbn&gt;&lt;urls&gt;&lt;/urls&gt;&lt;/record&gt;&lt;/Cite&gt;&lt;/EndNote&gt;</w:instrText>
      </w:r>
      <w:r>
        <w:rPr>
          <w:rFonts w:cstheme="minorHAnsi"/>
          <w:color w:val="000000" w:themeColor="text1"/>
          <w:shd w:val="clear" w:color="auto" w:fill="FFFFFF"/>
        </w:rPr>
        <w:fldChar w:fldCharType="separate"/>
      </w:r>
      <w:r>
        <w:rPr>
          <w:rFonts w:cstheme="minorHAnsi"/>
          <w:noProof/>
          <w:color w:val="000000" w:themeColor="text1"/>
          <w:shd w:val="clear" w:color="auto" w:fill="FFFFFF"/>
        </w:rPr>
        <w:t>(Shulman</w:t>
      </w:r>
      <w:r w:rsidRPr="00F6601B">
        <w:rPr>
          <w:rFonts w:cstheme="minorHAnsi"/>
          <w:i/>
          <w:noProof/>
          <w:color w:val="000000" w:themeColor="text1"/>
          <w:shd w:val="clear" w:color="auto" w:fill="FFFFFF"/>
        </w:rPr>
        <w:t xml:space="preserve"> et al.</w:t>
      </w:r>
      <w:r>
        <w:rPr>
          <w:rFonts w:cstheme="minorHAnsi"/>
          <w:noProof/>
          <w:color w:val="000000" w:themeColor="text1"/>
          <w:shd w:val="clear" w:color="auto" w:fill="FFFFFF"/>
        </w:rPr>
        <w:t>, 2018)</w:t>
      </w:r>
      <w:r>
        <w:rPr>
          <w:rFonts w:cstheme="minorHAnsi"/>
          <w:color w:val="000000" w:themeColor="text1"/>
          <w:shd w:val="clear" w:color="auto" w:fill="FFFFFF"/>
        </w:rPr>
        <w:fldChar w:fldCharType="end"/>
      </w:r>
    </w:p>
    <w:p w14:paraId="12C3B608" w14:textId="77777777" w:rsidR="001F63BE" w:rsidRDefault="001F63BE">
      <w:pPr>
        <w:rPr>
          <w:rFonts w:asciiTheme="majorHAnsi" w:hAnsiTheme="majorHAnsi" w:cstheme="majorHAnsi"/>
          <w:u w:val="single"/>
        </w:rPr>
      </w:pPr>
    </w:p>
    <w:p w14:paraId="5775CCDB" w14:textId="5D40E07F" w:rsidR="00D0782F" w:rsidRDefault="00D0782F">
      <w:pPr>
        <w:rPr>
          <w:rFonts w:asciiTheme="majorHAnsi" w:hAnsiTheme="majorHAnsi" w:cstheme="majorHAnsi"/>
          <w:u w:val="single"/>
        </w:rPr>
      </w:pPr>
      <w:r w:rsidRPr="00B8678C">
        <w:rPr>
          <w:rFonts w:asciiTheme="minorHAnsi" w:hAnsiTheme="minorHAnsi" w:cstheme="minorHAnsi"/>
          <w:b/>
          <w:bCs/>
        </w:rPr>
        <w:t>The main recommendations put forward by the above papers include:</w:t>
      </w:r>
    </w:p>
    <w:p w14:paraId="373D65F3" w14:textId="77777777" w:rsidR="00D0782F" w:rsidRDefault="00D0782F">
      <w:pPr>
        <w:rPr>
          <w:rFonts w:asciiTheme="majorHAnsi" w:hAnsiTheme="majorHAnsi" w:cstheme="majorHAnsi"/>
          <w:u w:val="single"/>
        </w:rPr>
      </w:pPr>
    </w:p>
    <w:p w14:paraId="069218EF" w14:textId="5F905144" w:rsidR="00D0782F" w:rsidRPr="0083630C" w:rsidRDefault="00BA20DD" w:rsidP="00D0782F">
      <w:pPr>
        <w:pStyle w:val="ListParagraph"/>
        <w:numPr>
          <w:ilvl w:val="0"/>
          <w:numId w:val="3"/>
        </w:numPr>
        <w:spacing w:after="160" w:line="259" w:lineRule="auto"/>
        <w:rPr>
          <w:rFonts w:cstheme="minorHAnsi"/>
          <w:b/>
          <w:bCs/>
        </w:rPr>
      </w:pPr>
      <w:r w:rsidRPr="00BA20DD">
        <w:rPr>
          <w:rFonts w:cstheme="minorHAnsi"/>
          <w:b/>
          <w:bCs/>
          <w:shd w:val="clear" w:color="auto" w:fill="FFFFFF"/>
        </w:rPr>
        <w:t>Current models of healthcare services are not meeting the needs of those experiencing socioeconomic deprivation at the end-of-life. Further work is needed to understand the disparity in care, particularly around ensuring patients voices are heard and can influence service development and delivery.</w:t>
      </w:r>
    </w:p>
    <w:p w14:paraId="216E711E" w14:textId="7D4D9592" w:rsidR="0083630C" w:rsidRPr="000C561C" w:rsidRDefault="0083630C" w:rsidP="00D0782F">
      <w:pPr>
        <w:pStyle w:val="ListParagraph"/>
        <w:numPr>
          <w:ilvl w:val="0"/>
          <w:numId w:val="3"/>
        </w:numPr>
        <w:spacing w:after="160" w:line="259" w:lineRule="auto"/>
        <w:rPr>
          <w:rFonts w:cstheme="minorHAnsi"/>
          <w:b/>
          <w:bCs/>
        </w:rPr>
      </w:pPr>
      <w:r w:rsidRPr="0083630C">
        <w:rPr>
          <w:rFonts w:cstheme="minorHAnsi"/>
          <w:b/>
          <w:bCs/>
          <w:shd w:val="clear" w:color="auto" w:fill="FFFFFF"/>
        </w:rPr>
        <w:lastRenderedPageBreak/>
        <w:t>There is a need, particularly in the UK, for theoretically driven research that considers both receipt of care and the wider factors influencing the relationship between socioeconomic position and access to palliative and end-of-life care.</w:t>
      </w:r>
    </w:p>
    <w:p w14:paraId="1B915192" w14:textId="52DECCE2" w:rsidR="000C561C" w:rsidRDefault="000C561C" w:rsidP="000C561C">
      <w:pPr>
        <w:pStyle w:val="ListParagraph"/>
        <w:numPr>
          <w:ilvl w:val="0"/>
          <w:numId w:val="3"/>
        </w:numPr>
        <w:rPr>
          <w:rFonts w:cstheme="minorHAnsi"/>
          <w:b/>
          <w:bCs/>
          <w:shd w:val="clear" w:color="auto" w:fill="FFFFFF"/>
        </w:rPr>
      </w:pPr>
      <w:r w:rsidRPr="000C561C">
        <w:rPr>
          <w:rFonts w:cstheme="minorHAnsi"/>
          <w:b/>
          <w:bCs/>
          <w:shd w:val="clear" w:color="auto" w:fill="FFFFFF"/>
        </w:rPr>
        <w:t>Attempts to address any inequities in access will require knowledge and action across many different areas. Key evidence gaps in the UK literature concern the relationship between socioeconomic position, organisational context, and assessing need for care.</w:t>
      </w:r>
    </w:p>
    <w:p w14:paraId="00A9B87E" w14:textId="0A177BF0" w:rsidR="00F6601B" w:rsidRPr="00F6601B" w:rsidRDefault="00F6601B" w:rsidP="000C561C">
      <w:pPr>
        <w:pStyle w:val="ListParagraph"/>
        <w:numPr>
          <w:ilvl w:val="0"/>
          <w:numId w:val="3"/>
        </w:numPr>
        <w:rPr>
          <w:rFonts w:cstheme="minorHAnsi"/>
          <w:b/>
          <w:bCs/>
          <w:shd w:val="clear" w:color="auto" w:fill="FFFFFF"/>
        </w:rPr>
      </w:pPr>
      <w:r w:rsidRPr="00F6601B">
        <w:rPr>
          <w:rFonts w:cstheme="minorHAnsi"/>
          <w:b/>
          <w:bCs/>
          <w:shd w:val="clear" w:color="auto" w:fill="FFFFFF"/>
        </w:rPr>
        <w:t>Greater multidisciplinary working extended in-reach into hostels from health and social services and training for all professional groups along with more access to appropriate supported accommodation are required to improve care for homeless people with advanced ill health.</w:t>
      </w:r>
    </w:p>
    <w:p w14:paraId="6413A7D6" w14:textId="3857E527" w:rsidR="00FE25D4" w:rsidRPr="00FE25D4" w:rsidRDefault="00FE25D4" w:rsidP="00FE25D4">
      <w:pPr>
        <w:rPr>
          <w:rFonts w:asciiTheme="majorHAnsi" w:hAnsiTheme="majorHAnsi" w:cstheme="majorHAnsi"/>
          <w:color w:val="C00000"/>
          <w:shd w:val="clear" w:color="auto" w:fill="FFFFFF"/>
        </w:rPr>
      </w:pPr>
    </w:p>
    <w:p w14:paraId="651A8D3B" w14:textId="77777777" w:rsidR="00C4568F" w:rsidRDefault="00C4568F"/>
    <w:p w14:paraId="1AF9E829" w14:textId="2216F0A4" w:rsidR="00FE25D4" w:rsidRDefault="00FE25D4" w:rsidP="00CC5E6C">
      <w:pPr>
        <w:pStyle w:val="Heading2"/>
        <w:rPr>
          <w:b/>
          <w:bCs/>
        </w:rPr>
      </w:pPr>
      <w:r w:rsidRPr="00CC5E6C">
        <w:rPr>
          <w:b/>
          <w:bCs/>
        </w:rPr>
        <w:t>Specific Conditions</w:t>
      </w:r>
    </w:p>
    <w:p w14:paraId="2E7408C8" w14:textId="77777777" w:rsidR="00CC5E6C" w:rsidRDefault="00CC5E6C" w:rsidP="00CC5E6C"/>
    <w:p w14:paraId="0C43AD5D" w14:textId="6DF8D179" w:rsidR="00CC5E6C" w:rsidRPr="00412F21" w:rsidRDefault="00CC5E6C" w:rsidP="00CC5E6C">
      <w:pPr>
        <w:pStyle w:val="ListParagraph"/>
        <w:numPr>
          <w:ilvl w:val="0"/>
          <w:numId w:val="2"/>
        </w:numPr>
        <w:spacing w:after="160" w:line="259" w:lineRule="auto"/>
        <w:rPr>
          <w:rFonts w:cstheme="minorHAnsi"/>
        </w:rPr>
      </w:pPr>
      <w:r w:rsidRPr="00412F21">
        <w:rPr>
          <w:rFonts w:cstheme="minorHAnsi"/>
          <w:color w:val="000000" w:themeColor="text1"/>
          <w:shd w:val="clear" w:color="auto" w:fill="FFFFFF"/>
        </w:rPr>
        <w:t>Palliative care practices, including communication about patient-centred goals of care and advance care planning (ACP), have the potential to enhance care throughout the course of Huntington's disease (HD) and related disorders. Provision of primary palliative care for HD in an interdisciplinary clinic is feasible. Integration of palliative care practices into HD specialty care requires additional training and modification of clinic operations</w:t>
      </w:r>
      <w:r w:rsidR="00412F21" w:rsidRPr="00412F21">
        <w:rPr>
          <w:rFonts w:cstheme="minorHAnsi"/>
          <w:color w:val="000000" w:themeColor="text1"/>
          <w:shd w:val="clear" w:color="auto" w:fill="FFFFFF"/>
        </w:rPr>
        <w:t xml:space="preserve"> </w:t>
      </w:r>
      <w:r w:rsidR="00412F21" w:rsidRPr="00412F21">
        <w:rPr>
          <w:rFonts w:cstheme="minorHAnsi"/>
          <w:color w:val="000000" w:themeColor="text1"/>
          <w:shd w:val="clear" w:color="auto" w:fill="FFFFFF"/>
        </w:rPr>
        <w:fldChar w:fldCharType="begin"/>
      </w:r>
      <w:r w:rsidR="00412F21">
        <w:rPr>
          <w:rFonts w:cstheme="minorHAnsi"/>
          <w:color w:val="000000" w:themeColor="text1"/>
          <w:shd w:val="clear" w:color="auto" w:fill="FFFFFF"/>
        </w:rPr>
        <w:instrText xml:space="preserve"> ADDIN EN.CITE &lt;EndNote&gt;&lt;Cite&gt;&lt;Author&gt;Harrison&lt;/Author&gt;&lt;Year&gt;2023&lt;/Year&gt;&lt;RecNum&gt;1501&lt;/RecNum&gt;&lt;DisplayText&gt;(Harrison&lt;style face="italic"&gt; et al.&lt;/style&gt;, 2023)&lt;/DisplayText&gt;&lt;record&gt;&lt;rec-number&gt;1501&lt;/rec-number&gt;&lt;foreign-keys&gt;&lt;key app="EN" db-id="xs9axatw70vf2ze9vdmxt0skppvsfd0tst5z" timestamp="1697102641" guid="29317ca8-5765-42f3-918d-f1af84fc797c"&gt;1501&lt;/key&gt;&lt;/foreign-keys&gt;&lt;ref-type name="Journal Article"&gt;17&lt;/ref-type&gt;&lt;contributors&gt;&lt;authors&gt;&lt;author&gt;Harrison, Madaline B&lt;/author&gt;&lt;author&gt;Morrissey, Dana L&lt;/author&gt;&lt;author&gt;Dalrymple, W Alex&lt;/author&gt;&lt;author&gt;D&amp;apos;Abreu, Anelyssa&lt;/author&gt;&lt;author&gt;Daly, Farrah N&lt;/author&gt;&lt;/authors&gt;&lt;/contributors&gt;&lt;titles&gt;&lt;title&gt;Primary Palliative Care in Huntington&amp;apos;s Disease&lt;/title&gt;&lt;secondary-title&gt;Movement Disorders Clinical Practice&lt;/secondary-title&gt;&lt;/titles&gt;&lt;periodical&gt;&lt;full-title&gt;Movement Disorders Clinical Practice&lt;/full-title&gt;&lt;/periodical&gt;&lt;pages&gt;55-63&lt;/pages&gt;&lt;volume&gt;10&lt;/volume&gt;&lt;number&gt;1&lt;/number&gt;&lt;dates&gt;&lt;year&gt;2023&lt;/year&gt;&lt;/dates&gt;&lt;isbn&gt;2330-1619&lt;/isbn&gt;&lt;urls&gt;&lt;/urls&gt;&lt;/record&gt;&lt;/Cite&gt;&lt;/EndNote&gt;</w:instrText>
      </w:r>
      <w:r w:rsidR="00412F21" w:rsidRPr="00412F21">
        <w:rPr>
          <w:rFonts w:cstheme="minorHAnsi"/>
          <w:color w:val="000000" w:themeColor="text1"/>
          <w:shd w:val="clear" w:color="auto" w:fill="FFFFFF"/>
        </w:rPr>
        <w:fldChar w:fldCharType="separate"/>
      </w:r>
      <w:r w:rsidR="00412F21" w:rsidRPr="00412F21">
        <w:rPr>
          <w:rFonts w:cstheme="minorHAnsi"/>
          <w:noProof/>
          <w:color w:val="000000" w:themeColor="text1"/>
          <w:shd w:val="clear" w:color="auto" w:fill="FFFFFF"/>
        </w:rPr>
        <w:t>(Harrison</w:t>
      </w:r>
      <w:r w:rsidR="00412F21" w:rsidRPr="00412F21">
        <w:rPr>
          <w:rFonts w:cstheme="minorHAnsi"/>
          <w:i/>
          <w:noProof/>
          <w:color w:val="000000" w:themeColor="text1"/>
          <w:shd w:val="clear" w:color="auto" w:fill="FFFFFF"/>
        </w:rPr>
        <w:t xml:space="preserve"> et al.</w:t>
      </w:r>
      <w:r w:rsidR="00412F21" w:rsidRPr="00412F21">
        <w:rPr>
          <w:rFonts w:cstheme="minorHAnsi"/>
          <w:noProof/>
          <w:color w:val="000000" w:themeColor="text1"/>
          <w:shd w:val="clear" w:color="auto" w:fill="FFFFFF"/>
        </w:rPr>
        <w:t>, 2023)</w:t>
      </w:r>
      <w:r w:rsidR="00412F21" w:rsidRPr="00412F21">
        <w:rPr>
          <w:rFonts w:cstheme="minorHAnsi"/>
          <w:color w:val="000000" w:themeColor="text1"/>
          <w:shd w:val="clear" w:color="auto" w:fill="FFFFFF"/>
        </w:rPr>
        <w:fldChar w:fldCharType="end"/>
      </w:r>
    </w:p>
    <w:p w14:paraId="39D570E8" w14:textId="190536D2" w:rsidR="00412F21" w:rsidRPr="00412F21" w:rsidRDefault="00412F21" w:rsidP="00CC5E6C">
      <w:pPr>
        <w:pStyle w:val="ListParagraph"/>
        <w:numPr>
          <w:ilvl w:val="0"/>
          <w:numId w:val="2"/>
        </w:numPr>
        <w:spacing w:after="160" w:line="259" w:lineRule="auto"/>
        <w:rPr>
          <w:rFonts w:cstheme="minorHAnsi"/>
        </w:rPr>
      </w:pPr>
      <w:r w:rsidRPr="00412F21">
        <w:rPr>
          <w:rFonts w:cstheme="minorHAnsi"/>
          <w:color w:val="000000" w:themeColor="text1"/>
          <w:shd w:val="clear" w:color="auto" w:fill="FFFFFF"/>
        </w:rPr>
        <w:t xml:space="preserve">Most health-care professionals are trained to promote and maintain life and often have difficulty when faced with the often-rapid decline and death of people with terminal illnesses such as amyotrophic lateral sclerosis (ALS). By contrast, data suggest that early and open discussion of end-of-life issues with patients and families allows time for reflection and planning, can obviate the introduction of unwanted interventions or procedures, can provide reassurance, and can alleviate fear </w:t>
      </w:r>
      <w:r w:rsidRPr="00412F21">
        <w:rPr>
          <w:rFonts w:cstheme="minorHAnsi"/>
          <w:color w:val="000000" w:themeColor="text1"/>
          <w:shd w:val="clear" w:color="auto" w:fill="FFFFFF"/>
        </w:rPr>
        <w:fldChar w:fldCharType="begin"/>
      </w:r>
      <w:r>
        <w:rPr>
          <w:rFonts w:cstheme="minorHAnsi"/>
          <w:color w:val="000000" w:themeColor="text1"/>
          <w:shd w:val="clear" w:color="auto" w:fill="FFFFFF"/>
        </w:rPr>
        <w:instrText xml:space="preserve"> ADDIN EN.CITE &lt;EndNote&gt;&lt;Cite&gt;&lt;Author&gt;Connolly&lt;/Author&gt;&lt;Year&gt;2015&lt;/Year&gt;&lt;RecNum&gt;1502&lt;/RecNum&gt;&lt;DisplayText&gt;(Connolly&lt;style face="italic"&gt; et al.&lt;/style&gt;, 2015)&lt;/DisplayText&gt;&lt;record&gt;&lt;rec-number&gt;1502&lt;/rec-number&gt;&lt;foreign-keys&gt;&lt;key app="EN" db-id="xs9axatw70vf2ze9vdmxt0skppvsfd0tst5z" timestamp="1697102795" guid="2c62b427-90fe-4769-a715-7d443789e27f"&gt;1502&lt;/key&gt;&lt;/foreign-keys&gt;&lt;ref-type name="Journal Article"&gt;17&lt;/ref-type&gt;&lt;contributors&gt;&lt;authors&gt;&lt;author&gt;Connolly, Sheelah&lt;/author&gt;&lt;author&gt;Galvin, Miriam&lt;/author&gt;&lt;author&gt;Hardiman, Orla&lt;/author&gt;&lt;/authors&gt;&lt;/contributors&gt;&lt;titles&gt;&lt;title&gt;End-of-life management in patients with amyotrophic lateral sclerosis&lt;/title&gt;&lt;secondary-title&gt;The Lancet Neurology&lt;/secondary-title&gt;&lt;/titles&gt;&lt;periodical&gt;&lt;full-title&gt;The Lancet Neurology&lt;/full-title&gt;&lt;/periodical&gt;&lt;pages&gt;435-442&lt;/pages&gt;&lt;volume&gt;14&lt;/volume&gt;&lt;number&gt;4&lt;/number&gt;&lt;dates&gt;&lt;year&gt;2015&lt;/year&gt;&lt;/dates&gt;&lt;isbn&gt;1474-4422&lt;/isbn&gt;&lt;urls&gt;&lt;/urls&gt;&lt;/record&gt;&lt;/Cite&gt;&lt;/EndNote&gt;</w:instrText>
      </w:r>
      <w:r w:rsidRPr="00412F21">
        <w:rPr>
          <w:rFonts w:cstheme="minorHAnsi"/>
          <w:color w:val="000000" w:themeColor="text1"/>
          <w:shd w:val="clear" w:color="auto" w:fill="FFFFFF"/>
        </w:rPr>
        <w:fldChar w:fldCharType="separate"/>
      </w:r>
      <w:r w:rsidRPr="00412F21">
        <w:rPr>
          <w:rFonts w:cstheme="minorHAnsi"/>
          <w:noProof/>
          <w:color w:val="000000" w:themeColor="text1"/>
          <w:shd w:val="clear" w:color="auto" w:fill="FFFFFF"/>
        </w:rPr>
        <w:t>(Connolly</w:t>
      </w:r>
      <w:r w:rsidRPr="00412F21">
        <w:rPr>
          <w:rFonts w:cstheme="minorHAnsi"/>
          <w:i/>
          <w:noProof/>
          <w:color w:val="000000" w:themeColor="text1"/>
          <w:shd w:val="clear" w:color="auto" w:fill="FFFFFF"/>
        </w:rPr>
        <w:t xml:space="preserve"> et al.</w:t>
      </w:r>
      <w:r w:rsidRPr="00412F21">
        <w:rPr>
          <w:rFonts w:cstheme="minorHAnsi"/>
          <w:noProof/>
          <w:color w:val="000000" w:themeColor="text1"/>
          <w:shd w:val="clear" w:color="auto" w:fill="FFFFFF"/>
        </w:rPr>
        <w:t>, 2015)</w:t>
      </w:r>
      <w:r w:rsidRPr="00412F21">
        <w:rPr>
          <w:rFonts w:cstheme="minorHAnsi"/>
          <w:color w:val="000000" w:themeColor="text1"/>
          <w:shd w:val="clear" w:color="auto" w:fill="FFFFFF"/>
        </w:rPr>
        <w:fldChar w:fldCharType="end"/>
      </w:r>
    </w:p>
    <w:p w14:paraId="6B95C949" w14:textId="6EB85ED0" w:rsidR="00412F21" w:rsidRPr="00412F21" w:rsidRDefault="00412F21" w:rsidP="00CC5E6C">
      <w:pPr>
        <w:pStyle w:val="ListParagraph"/>
        <w:numPr>
          <w:ilvl w:val="0"/>
          <w:numId w:val="2"/>
        </w:numPr>
        <w:spacing w:after="160" w:line="259" w:lineRule="auto"/>
        <w:rPr>
          <w:rFonts w:cstheme="minorHAnsi"/>
        </w:rPr>
      </w:pPr>
      <w:r w:rsidRPr="00412F21">
        <w:rPr>
          <w:rFonts w:cstheme="minorHAnsi"/>
          <w:color w:val="000000" w:themeColor="text1"/>
          <w:shd w:val="clear" w:color="auto" w:fill="FFFFFF"/>
        </w:rPr>
        <w:t>The end-of-life care received by patients with advanced dementia and their carers is of increasing importance as the incidence of dementia is set to rise in the next 30 years. Currently, inappropriate admissions to hospital are common in the UK and patients are less likely to be referred to palliative care services, receive less pain control but undergo more invasive interventions compared to their cognitively intact counterparts. The results showed that participants’ understanding of dementia and its likely progress was poor. Provision of information regarding the future was rare despite high information needs</w:t>
      </w:r>
      <w:r>
        <w:rPr>
          <w:rFonts w:cstheme="minorHAnsi"/>
          <w:color w:val="000000" w:themeColor="text1"/>
          <w:shd w:val="clear" w:color="auto" w:fill="FFFFFF"/>
        </w:rPr>
        <w:t xml:space="preserve"> </w:t>
      </w:r>
      <w:r>
        <w:rPr>
          <w:rFonts w:cstheme="minorHAnsi"/>
          <w:color w:val="000000" w:themeColor="text1"/>
          <w:shd w:val="clear" w:color="auto" w:fill="FFFFFF"/>
        </w:rPr>
        <w:fldChar w:fldCharType="begin"/>
      </w:r>
      <w:r>
        <w:rPr>
          <w:rFonts w:cstheme="minorHAnsi"/>
          <w:color w:val="000000" w:themeColor="text1"/>
          <w:shd w:val="clear" w:color="auto" w:fill="FFFFFF"/>
        </w:rPr>
        <w:instrText xml:space="preserve"> ADDIN EN.CITE &lt;EndNote&gt;&lt;Cite&gt;&lt;Author&gt;Thuné-Boyle&lt;/Author&gt;&lt;Year&gt;2010&lt;/Year&gt;&lt;RecNum&gt;1503&lt;/RecNum&gt;&lt;DisplayText&gt;(Thuné-Boyle&lt;style face="italic"&gt; et al.&lt;/style&gt;, 2010)&lt;/DisplayText&gt;&lt;record&gt;&lt;rec-number&gt;1503&lt;/rec-number&gt;&lt;foreign-keys&gt;&lt;key app="EN" db-id="xs9axatw70vf2ze9vdmxt0skppvsfd0tst5z" timestamp="1697103002" guid="0b9f193c-5e29-4aaf-ac1a-bfd6daac9beb"&gt;1503&lt;/key&gt;&lt;/foreign-keys&gt;&lt;ref-type name="Journal Article"&gt;17&lt;/ref-type&gt;&lt;contributors&gt;&lt;authors&gt;&lt;author&gt;Thuné-Boyle, Ingela CV&lt;/author&gt;&lt;author&gt;Sampson, Elizabeth L&lt;/author&gt;&lt;author&gt;Jones, Louise&lt;/author&gt;&lt;author&gt;King, Michael&lt;/author&gt;&lt;author&gt;Lee, Dan R&lt;/author&gt;&lt;author&gt;Blanchard, Martin R&lt;/author&gt;&lt;/authors&gt;&lt;/contributors&gt;&lt;titles&gt;&lt;title&gt;Challenges to improving end of life care of people with advanced dementia in the UK&lt;/title&gt;&lt;secondary-title&gt;Dementia&lt;/secondary-title&gt;&lt;/titles&gt;&lt;periodical&gt;&lt;full-title&gt;Dementia&lt;/full-title&gt;&lt;/periodical&gt;&lt;pages&gt;259-284&lt;/pages&gt;&lt;volume&gt;9&lt;/volume&gt;&lt;number&gt;2&lt;/number&gt;&lt;dates&gt;&lt;year&gt;2010&lt;/year&gt;&lt;/dates&gt;&lt;isbn&gt;1471-3012&lt;/isbn&gt;&lt;urls&gt;&lt;/urls&gt;&lt;/record&gt;&lt;/Cite&gt;&lt;/EndNote&gt;</w:instrText>
      </w:r>
      <w:r>
        <w:rPr>
          <w:rFonts w:cstheme="minorHAnsi"/>
          <w:color w:val="000000" w:themeColor="text1"/>
          <w:shd w:val="clear" w:color="auto" w:fill="FFFFFF"/>
        </w:rPr>
        <w:fldChar w:fldCharType="separate"/>
      </w:r>
      <w:r>
        <w:rPr>
          <w:rFonts w:cstheme="minorHAnsi"/>
          <w:noProof/>
          <w:color w:val="000000" w:themeColor="text1"/>
          <w:shd w:val="clear" w:color="auto" w:fill="FFFFFF"/>
        </w:rPr>
        <w:t>(Thuné-Boyle</w:t>
      </w:r>
      <w:r w:rsidRPr="00412F21">
        <w:rPr>
          <w:rFonts w:cstheme="minorHAnsi"/>
          <w:i/>
          <w:noProof/>
          <w:color w:val="000000" w:themeColor="text1"/>
          <w:shd w:val="clear" w:color="auto" w:fill="FFFFFF"/>
        </w:rPr>
        <w:t xml:space="preserve"> et al.</w:t>
      </w:r>
      <w:r>
        <w:rPr>
          <w:rFonts w:cstheme="minorHAnsi"/>
          <w:noProof/>
          <w:color w:val="000000" w:themeColor="text1"/>
          <w:shd w:val="clear" w:color="auto" w:fill="FFFFFF"/>
        </w:rPr>
        <w:t>, 2010)</w:t>
      </w:r>
      <w:r>
        <w:rPr>
          <w:rFonts w:cstheme="minorHAnsi"/>
          <w:color w:val="000000" w:themeColor="text1"/>
          <w:shd w:val="clear" w:color="auto" w:fill="FFFFFF"/>
        </w:rPr>
        <w:fldChar w:fldCharType="end"/>
      </w:r>
    </w:p>
    <w:p w14:paraId="354AA2E4" w14:textId="77777777" w:rsidR="00412F21" w:rsidRDefault="00412F21" w:rsidP="00CC5E6C">
      <w:pPr>
        <w:rPr>
          <w:rFonts w:asciiTheme="minorHAnsi" w:hAnsiTheme="minorHAnsi" w:cstheme="minorHAnsi"/>
          <w:b/>
          <w:bCs/>
        </w:rPr>
      </w:pPr>
    </w:p>
    <w:p w14:paraId="6D024CA8" w14:textId="0ADF5849" w:rsidR="00CC5E6C" w:rsidRPr="00CC5E6C" w:rsidRDefault="00412F21" w:rsidP="00CC5E6C">
      <w:r w:rsidRPr="00B8678C">
        <w:rPr>
          <w:rFonts w:asciiTheme="minorHAnsi" w:hAnsiTheme="minorHAnsi" w:cstheme="minorHAnsi"/>
          <w:b/>
          <w:bCs/>
        </w:rPr>
        <w:t>The main recommendations put forward by the above papers include:</w:t>
      </w:r>
    </w:p>
    <w:p w14:paraId="66157688" w14:textId="1D235A71" w:rsidR="007B338E" w:rsidRDefault="007B338E" w:rsidP="007B338E"/>
    <w:p w14:paraId="630CB87B" w14:textId="3F7495CE" w:rsidR="00412F21" w:rsidRPr="00412F21" w:rsidRDefault="00412F21" w:rsidP="00FB72F9">
      <w:pPr>
        <w:pStyle w:val="ListParagraph"/>
        <w:numPr>
          <w:ilvl w:val="0"/>
          <w:numId w:val="3"/>
        </w:numPr>
        <w:rPr>
          <w:rFonts w:cstheme="minorHAnsi"/>
          <w:b/>
          <w:bCs/>
        </w:rPr>
      </w:pPr>
      <w:r w:rsidRPr="00412F21">
        <w:rPr>
          <w:rFonts w:cstheme="minorHAnsi"/>
          <w:b/>
          <w:bCs/>
          <w:color w:val="000000" w:themeColor="text1"/>
          <w:shd w:val="clear" w:color="auto" w:fill="FFFFFF"/>
        </w:rPr>
        <w:t>Patients' perspectives regarding end-of-life interventions and use of technologies might differ from those of the health professionals involved in their care, and health-care professionals should recognise this and respect the patient's autonomy. Advance care directives can preserve autonomy, but their legal validity and use varies between countries.</w:t>
      </w:r>
    </w:p>
    <w:p w14:paraId="22A06AAC" w14:textId="6892282F" w:rsidR="00412F21" w:rsidRPr="00412F21" w:rsidRDefault="00412F21" w:rsidP="00412F21">
      <w:pPr>
        <w:pStyle w:val="ListParagraph"/>
        <w:numPr>
          <w:ilvl w:val="0"/>
          <w:numId w:val="3"/>
        </w:numPr>
        <w:rPr>
          <w:rFonts w:cstheme="minorHAnsi"/>
          <w:b/>
          <w:bCs/>
          <w:color w:val="000000" w:themeColor="text1"/>
        </w:rPr>
      </w:pPr>
      <w:r w:rsidRPr="00412F21">
        <w:rPr>
          <w:rFonts w:cstheme="minorHAnsi"/>
          <w:b/>
          <w:bCs/>
          <w:color w:val="000000" w:themeColor="text1"/>
          <w:shd w:val="clear" w:color="auto" w:fill="FFFFFF"/>
        </w:rPr>
        <w:lastRenderedPageBreak/>
        <w:t>Clinical management of the end of life should aim to maximise quality of life of both the patient and caregiver and, when possible, incorporate appropriate palliation of distressing physical, psychosocial, and existential distress. Training of health-care professionals should include the development of communication skills that help to sensitively manage the inevitability of death.</w:t>
      </w:r>
    </w:p>
    <w:p w14:paraId="613C4CE0" w14:textId="59AD2AAC" w:rsidR="007B338E" w:rsidRPr="007B338E" w:rsidRDefault="007B338E" w:rsidP="007B338E">
      <w:pPr>
        <w:rPr>
          <w:rFonts w:asciiTheme="majorHAnsi" w:hAnsiTheme="majorHAnsi" w:cstheme="majorHAnsi"/>
          <w:color w:val="000000" w:themeColor="text1"/>
        </w:rPr>
      </w:pPr>
    </w:p>
    <w:p w14:paraId="5DFCBEF0" w14:textId="77777777" w:rsidR="00FE25D4" w:rsidRPr="00FE25D4" w:rsidRDefault="00FE25D4">
      <w:pPr>
        <w:rPr>
          <w:rFonts w:asciiTheme="majorHAnsi" w:hAnsiTheme="majorHAnsi" w:cstheme="majorHAnsi"/>
          <w:b/>
          <w:bCs/>
          <w:sz w:val="28"/>
          <w:szCs w:val="28"/>
        </w:rPr>
      </w:pPr>
    </w:p>
    <w:p w14:paraId="5952116E" w14:textId="4435F825" w:rsidR="00FE25D4" w:rsidRDefault="00FE25D4" w:rsidP="00412F21">
      <w:pPr>
        <w:pStyle w:val="Heading2"/>
        <w:rPr>
          <w:b/>
          <w:bCs/>
        </w:rPr>
      </w:pPr>
      <w:r w:rsidRPr="00412F21">
        <w:rPr>
          <w:b/>
          <w:bCs/>
        </w:rPr>
        <w:t>Mental Health and End of Life Care</w:t>
      </w:r>
    </w:p>
    <w:p w14:paraId="56F7F128" w14:textId="77777777" w:rsidR="00412F21" w:rsidRDefault="00412F21" w:rsidP="00412F21"/>
    <w:p w14:paraId="6C820333" w14:textId="35B43730" w:rsidR="00412F21" w:rsidRPr="00412F21" w:rsidRDefault="00412F21" w:rsidP="00DF5EDB">
      <w:pPr>
        <w:pStyle w:val="ListParagraph"/>
        <w:numPr>
          <w:ilvl w:val="0"/>
          <w:numId w:val="2"/>
        </w:numPr>
        <w:spacing w:after="160" w:line="259" w:lineRule="auto"/>
        <w:rPr>
          <w:rFonts w:cstheme="minorHAnsi"/>
          <w:b/>
          <w:bCs/>
        </w:rPr>
      </w:pPr>
      <w:r w:rsidRPr="00412F21">
        <w:rPr>
          <w:rFonts w:cstheme="minorHAnsi"/>
          <w:color w:val="000000" w:themeColor="text1"/>
          <w:shd w:val="clear" w:color="auto" w:fill="FFFFFF"/>
        </w:rPr>
        <w:t xml:space="preserve">People with serious mental illness have greater mortality risk than the general population. They experience health care inequalities throughout life.  People with serious mental illness were more likely to die in care homes than the general population </w:t>
      </w:r>
      <w:r w:rsidRPr="00412F21">
        <w:rPr>
          <w:rFonts w:cstheme="minorHAnsi"/>
          <w:color w:val="000000" w:themeColor="text1"/>
          <w:shd w:val="clear" w:color="auto" w:fill="FFFFFF"/>
        </w:rPr>
        <w:fldChar w:fldCharType="begin"/>
      </w:r>
      <w:r>
        <w:rPr>
          <w:rFonts w:cstheme="minorHAnsi"/>
          <w:color w:val="000000" w:themeColor="text1"/>
          <w:shd w:val="clear" w:color="auto" w:fill="FFFFFF"/>
        </w:rPr>
        <w:instrText xml:space="preserve"> ADDIN EN.CITE &lt;EndNote&gt;&lt;Cite&gt;&lt;Author&gt;Wilson&lt;/Author&gt;&lt;Year&gt;2020&lt;/Year&gt;&lt;RecNum&gt;1504&lt;/RecNum&gt;&lt;DisplayText&gt;(Wilson&lt;style face="italic"&gt; et al.&lt;/style&gt;, 2020)&lt;/DisplayText&gt;&lt;record&gt;&lt;rec-number&gt;1504&lt;/rec-number&gt;&lt;foreign-keys&gt;&lt;key app="EN" db-id="xs9axatw70vf2ze9vdmxt0skppvsfd0tst5z" timestamp="1697103179" guid="7f10c58b-70bf-42cc-bb58-13c0861c38cc"&gt;1504&lt;/key&gt;&lt;/foreign-keys&gt;&lt;ref-type name="Journal Article"&gt;17&lt;/ref-type&gt;&lt;contributors&gt;&lt;authors&gt;&lt;author&gt;Wilson, Rebecca&lt;/author&gt;&lt;author&gt;Hepgul, Nilay&lt;/author&gt;&lt;author&gt;Higginson, Irene J&lt;/author&gt;&lt;author&gt;Gao, Wei&lt;/author&gt;&lt;/authors&gt;&lt;/contributors&gt;&lt;titles&gt;&lt;title&gt;End-of-life care and place of death in adults with serious mental illness: A systematic review and narrative synthesis&lt;/title&gt;&lt;secondary-title&gt;Palliative medicine&lt;/secondary-title&gt;&lt;/titles&gt;&lt;periodical&gt;&lt;full-title&gt;Palliative medicine&lt;/full-title&gt;&lt;/periodical&gt;&lt;pages&gt;49-68&lt;/pages&gt;&lt;volume&gt;34&lt;/volume&gt;&lt;number&gt;1&lt;/number&gt;&lt;dates&gt;&lt;year&gt;2020&lt;/year&gt;&lt;/dates&gt;&lt;isbn&gt;0269-2163&lt;/isbn&gt;&lt;urls&gt;&lt;/urls&gt;&lt;/record&gt;&lt;/Cite&gt;&lt;/EndNote&gt;</w:instrText>
      </w:r>
      <w:r w:rsidRPr="00412F21">
        <w:rPr>
          <w:rFonts w:cstheme="minorHAnsi"/>
          <w:color w:val="000000" w:themeColor="text1"/>
          <w:shd w:val="clear" w:color="auto" w:fill="FFFFFF"/>
        </w:rPr>
        <w:fldChar w:fldCharType="separate"/>
      </w:r>
      <w:r w:rsidRPr="00412F21">
        <w:rPr>
          <w:rFonts w:cstheme="minorHAnsi"/>
          <w:noProof/>
          <w:color w:val="000000" w:themeColor="text1"/>
          <w:shd w:val="clear" w:color="auto" w:fill="FFFFFF"/>
        </w:rPr>
        <w:t>(Wilson</w:t>
      </w:r>
      <w:r w:rsidRPr="00412F21">
        <w:rPr>
          <w:rFonts w:cstheme="minorHAnsi"/>
          <w:i/>
          <w:noProof/>
          <w:color w:val="000000" w:themeColor="text1"/>
          <w:shd w:val="clear" w:color="auto" w:fill="FFFFFF"/>
        </w:rPr>
        <w:t xml:space="preserve"> et al.</w:t>
      </w:r>
      <w:r w:rsidRPr="00412F21">
        <w:rPr>
          <w:rFonts w:cstheme="minorHAnsi"/>
          <w:noProof/>
          <w:color w:val="000000" w:themeColor="text1"/>
          <w:shd w:val="clear" w:color="auto" w:fill="FFFFFF"/>
        </w:rPr>
        <w:t>, 2020)</w:t>
      </w:r>
      <w:r w:rsidRPr="00412F21">
        <w:rPr>
          <w:rFonts w:cstheme="minorHAnsi"/>
          <w:color w:val="000000" w:themeColor="text1"/>
          <w:shd w:val="clear" w:color="auto" w:fill="FFFFFF"/>
        </w:rPr>
        <w:fldChar w:fldCharType="end"/>
      </w:r>
    </w:p>
    <w:p w14:paraId="5F6DE588" w14:textId="53F8E85F" w:rsidR="00412F21" w:rsidRPr="00412F21" w:rsidRDefault="00412F21" w:rsidP="00DF5EDB">
      <w:pPr>
        <w:pStyle w:val="ListParagraph"/>
        <w:numPr>
          <w:ilvl w:val="0"/>
          <w:numId w:val="2"/>
        </w:numPr>
        <w:spacing w:after="160" w:line="259" w:lineRule="auto"/>
        <w:rPr>
          <w:rFonts w:cstheme="minorHAnsi"/>
          <w:b/>
          <w:bCs/>
        </w:rPr>
      </w:pPr>
      <w:r w:rsidRPr="00412F21">
        <w:rPr>
          <w:rFonts w:cstheme="minorHAnsi"/>
        </w:rPr>
        <w:t xml:space="preserve">There is very little research in the UK, to show how many people with severe mental health issues need palliative care, and how mental health needs are supported for people who are diagnosed with a terminal </w:t>
      </w:r>
      <w:proofErr w:type="gramStart"/>
      <w:r w:rsidRPr="00412F21">
        <w:rPr>
          <w:rFonts w:cstheme="minorHAnsi"/>
        </w:rPr>
        <w:t>illness</w:t>
      </w:r>
      <w:proofErr w:type="gramEnd"/>
    </w:p>
    <w:p w14:paraId="3A9EF121" w14:textId="47AF2281" w:rsidR="00412F21" w:rsidRPr="00412F21" w:rsidRDefault="00412F21" w:rsidP="00DF5EDB">
      <w:pPr>
        <w:pStyle w:val="ListParagraph"/>
        <w:numPr>
          <w:ilvl w:val="0"/>
          <w:numId w:val="2"/>
        </w:numPr>
        <w:spacing w:after="160" w:line="259" w:lineRule="auto"/>
        <w:rPr>
          <w:rFonts w:cstheme="minorHAnsi"/>
          <w:b/>
          <w:bCs/>
        </w:rPr>
      </w:pPr>
      <w:r w:rsidRPr="00412F21">
        <w:rPr>
          <w:rFonts w:cstheme="minorHAnsi"/>
        </w:rPr>
        <w:t xml:space="preserve">Certain groups of people receive less palliative care than others with a comparable need. These </w:t>
      </w:r>
      <w:proofErr w:type="gramStart"/>
      <w:r w:rsidRPr="00412F21">
        <w:rPr>
          <w:rFonts w:cstheme="minorHAnsi"/>
        </w:rPr>
        <w:t>are people who are</w:t>
      </w:r>
      <w:proofErr w:type="gramEnd"/>
      <w:r w:rsidRPr="00412F21">
        <w:rPr>
          <w:rFonts w:cstheme="minorHAnsi"/>
        </w:rPr>
        <w:t xml:space="preserve"> over the age of 85, are from black, Asian and minority ethnic (BAME) backgrounds, identify as lesbian, gay, bisexual and transgender (LGBT), are from more deprived areas, are socially isolated or live alone, are homeless, have mental health needs, or are living in prisons.</w:t>
      </w:r>
    </w:p>
    <w:p w14:paraId="31255D98" w14:textId="6C18A3FB" w:rsidR="00412F21" w:rsidRPr="00412F21" w:rsidRDefault="00412F21" w:rsidP="00DF5EDB">
      <w:pPr>
        <w:pStyle w:val="ListParagraph"/>
        <w:numPr>
          <w:ilvl w:val="0"/>
          <w:numId w:val="2"/>
        </w:numPr>
        <w:spacing w:after="160" w:line="259" w:lineRule="auto"/>
        <w:rPr>
          <w:rFonts w:cstheme="minorHAnsi"/>
          <w:b/>
          <w:bCs/>
        </w:rPr>
      </w:pPr>
      <w:r w:rsidRPr="00412F21">
        <w:rPr>
          <w:rFonts w:cstheme="minorHAnsi"/>
        </w:rPr>
        <w:t>For people living with terminal illness depression can occur anytime such as following diagnosis, as their disease advances and pain increases, or as their independence becomes more limited. Left unsupported this can have serious implications. It is also vital to consider how palliative care might support someone approaching the end of life with severe mental health conditions such as schizophrenia, bi-polar disorder or clinical depression</w:t>
      </w:r>
      <w:r>
        <w:rPr>
          <w:rFonts w:cstheme="minorHAnsi"/>
        </w:rPr>
        <w:t xml:space="preserve"> </w:t>
      </w:r>
      <w:r>
        <w:rPr>
          <w:rFonts w:cstheme="minorHAnsi"/>
        </w:rPr>
        <w:fldChar w:fldCharType="begin"/>
      </w:r>
      <w:r>
        <w:rPr>
          <w:rFonts w:cstheme="minorHAnsi"/>
        </w:rPr>
        <w:instrText xml:space="preserve"> ADDIN EN.CITE &lt;EndNote&gt;&lt;Cite&gt;&lt;Author&gt;Ee&lt;/Author&gt;&lt;Year&gt;2021&lt;/Year&gt;&lt;RecNum&gt;1505&lt;/RecNum&gt;&lt;DisplayText&gt;(Ee, 2021)&lt;/DisplayText&gt;&lt;record&gt;&lt;rec-number&gt;1505&lt;/rec-number&gt;&lt;foreign-keys&gt;&lt;key app="EN" db-id="xs9axatw70vf2ze9vdmxt0skppvsfd0tst5z" timestamp="1697103347" guid="46fe3586-8bdf-4f79-9693-b762b329bae1"&gt;1505&lt;/key&gt;&lt;/foreign-keys&gt;&lt;ref-type name="Journal Article"&gt;17&lt;/ref-type&gt;&lt;contributors&gt;&lt;authors&gt;&lt;author&gt;Ee, Calvyn&lt;/author&gt;&lt;/authors&gt;&lt;/contributors&gt;&lt;titles&gt;&lt;title&gt;End-Of-Life Care: Managing Mental Health&lt;/title&gt;&lt;/titles&gt;&lt;dates&gt;&lt;year&gt;2021&lt;/year&gt;&lt;/dates&gt;&lt;urls&gt;&lt;/urls&gt;&lt;/record&gt;&lt;/Cite&gt;&lt;/EndNote&gt;</w:instrText>
      </w:r>
      <w:r>
        <w:rPr>
          <w:rFonts w:cstheme="minorHAnsi"/>
        </w:rPr>
        <w:fldChar w:fldCharType="separate"/>
      </w:r>
      <w:r>
        <w:rPr>
          <w:rFonts w:cstheme="minorHAnsi"/>
          <w:noProof/>
        </w:rPr>
        <w:t>(Ee, 2021)</w:t>
      </w:r>
      <w:r>
        <w:rPr>
          <w:rFonts w:cstheme="minorHAnsi"/>
        </w:rPr>
        <w:fldChar w:fldCharType="end"/>
      </w:r>
    </w:p>
    <w:p w14:paraId="3CAB567A" w14:textId="45B28415" w:rsidR="00412F21" w:rsidRPr="00CC5E6C" w:rsidRDefault="00412F21" w:rsidP="00412F21">
      <w:r w:rsidRPr="00B8678C">
        <w:rPr>
          <w:rFonts w:asciiTheme="minorHAnsi" w:hAnsiTheme="minorHAnsi" w:cstheme="minorHAnsi"/>
          <w:b/>
          <w:bCs/>
        </w:rPr>
        <w:t>The main recommendations put forward by the above papers include:</w:t>
      </w:r>
    </w:p>
    <w:p w14:paraId="142165A2" w14:textId="77777777" w:rsidR="00412F21" w:rsidRDefault="00412F21" w:rsidP="00412F21"/>
    <w:p w14:paraId="4913EB63" w14:textId="2FF04467" w:rsidR="00412F21" w:rsidRPr="00412F21" w:rsidRDefault="00412F21" w:rsidP="00412F21">
      <w:pPr>
        <w:pStyle w:val="ListParagraph"/>
        <w:numPr>
          <w:ilvl w:val="0"/>
          <w:numId w:val="3"/>
        </w:numPr>
        <w:rPr>
          <w:rFonts w:cstheme="minorHAnsi"/>
          <w:b/>
          <w:bCs/>
        </w:rPr>
      </w:pPr>
      <w:r w:rsidRPr="00412F21">
        <w:rPr>
          <w:rFonts w:cstheme="minorHAnsi"/>
          <w:b/>
          <w:bCs/>
          <w:shd w:val="clear" w:color="auto" w:fill="FFFFFF"/>
        </w:rPr>
        <w:t>Given that people with serious mental illness have increased mortality risk, this gap in the knowledge around end-of-life care outcomes is concerning; this area of research needs further development.</w:t>
      </w:r>
    </w:p>
    <w:p w14:paraId="61D91C77" w14:textId="263B2337" w:rsidR="00412F21" w:rsidRPr="00412F21" w:rsidRDefault="00412F21" w:rsidP="00425675">
      <w:pPr>
        <w:pStyle w:val="ListParagraph"/>
        <w:numPr>
          <w:ilvl w:val="0"/>
          <w:numId w:val="3"/>
        </w:numPr>
        <w:rPr>
          <w:rFonts w:cstheme="minorHAnsi"/>
          <w:b/>
          <w:bCs/>
        </w:rPr>
      </w:pPr>
      <w:r w:rsidRPr="00412F21">
        <w:rPr>
          <w:rFonts w:cstheme="minorHAnsi"/>
          <w:b/>
          <w:bCs/>
        </w:rPr>
        <w:t>There is a need for A Die Well life stage added to the mental health strategy to fully address the mental health needs of people approaching the end of life; More research to show how many people with severe mental health issues need palliative care, and how mental health needs are supported for people who are diagnosed with a terminal illness; better communication and understanding between palliative care and mental health teams, and wider education and training to support practitioners in palliative care and anticipatory care planning skills; More support for families and carers of people with a terminal illness or at the end of life through the course of their condition and support during bereavement</w:t>
      </w:r>
    </w:p>
    <w:p w14:paraId="5533780F" w14:textId="2EEC9E7B" w:rsidR="006249D6" w:rsidRDefault="006249D6" w:rsidP="006249D6"/>
    <w:p w14:paraId="37737490" w14:textId="0FD9F54E" w:rsidR="00C4568F" w:rsidRPr="00C4568F" w:rsidRDefault="00C4568F" w:rsidP="00C4568F">
      <w:pPr>
        <w:rPr>
          <w:rFonts w:asciiTheme="majorHAnsi" w:hAnsiTheme="majorHAnsi" w:cstheme="majorHAnsi"/>
          <w:color w:val="C00000"/>
        </w:rPr>
      </w:pPr>
      <w:r w:rsidRPr="00C4568F">
        <w:rPr>
          <w:rFonts w:asciiTheme="majorHAnsi" w:hAnsiTheme="majorHAnsi" w:cstheme="majorHAnsi"/>
          <w:color w:val="C00000"/>
        </w:rPr>
        <w:t xml:space="preserve"> </w:t>
      </w:r>
    </w:p>
    <w:p w14:paraId="6A1A4345" w14:textId="77777777" w:rsidR="006249D6" w:rsidRDefault="006249D6">
      <w:pPr>
        <w:rPr>
          <w:rFonts w:asciiTheme="majorHAnsi" w:hAnsiTheme="majorHAnsi" w:cstheme="majorHAnsi"/>
          <w:b/>
          <w:bCs/>
          <w:sz w:val="28"/>
          <w:szCs w:val="28"/>
        </w:rPr>
      </w:pPr>
    </w:p>
    <w:p w14:paraId="0950045E" w14:textId="0C6398FC" w:rsidR="00FE25D4" w:rsidRPr="00412F21" w:rsidRDefault="00FE25D4" w:rsidP="00412F21">
      <w:pPr>
        <w:pStyle w:val="Heading2"/>
        <w:rPr>
          <w:b/>
          <w:bCs/>
        </w:rPr>
      </w:pPr>
      <w:r w:rsidRPr="00412F21">
        <w:rPr>
          <w:b/>
          <w:bCs/>
        </w:rPr>
        <w:lastRenderedPageBreak/>
        <w:t xml:space="preserve">Accessing Support </w:t>
      </w:r>
    </w:p>
    <w:p w14:paraId="4CA2D887" w14:textId="77777777" w:rsidR="00412F21" w:rsidRDefault="00412F21">
      <w:pPr>
        <w:rPr>
          <w:rFonts w:asciiTheme="majorHAnsi" w:hAnsiTheme="majorHAnsi" w:cstheme="majorHAnsi"/>
          <w:b/>
          <w:bCs/>
          <w:sz w:val="28"/>
          <w:szCs w:val="28"/>
        </w:rPr>
      </w:pPr>
    </w:p>
    <w:p w14:paraId="6D898584" w14:textId="0BAC4D43" w:rsidR="00412F21" w:rsidRPr="00412F21" w:rsidRDefault="00412F21" w:rsidP="00412F21">
      <w:pPr>
        <w:pStyle w:val="ListParagraph"/>
        <w:numPr>
          <w:ilvl w:val="0"/>
          <w:numId w:val="2"/>
        </w:numPr>
        <w:spacing w:after="160" w:line="259" w:lineRule="auto"/>
        <w:rPr>
          <w:rFonts w:cstheme="minorHAnsi"/>
          <w:b/>
          <w:bCs/>
        </w:rPr>
      </w:pPr>
      <w:r w:rsidRPr="00412F21">
        <w:rPr>
          <w:rFonts w:cstheme="minorHAnsi"/>
        </w:rPr>
        <w:t>T</w:t>
      </w:r>
      <w:r w:rsidRPr="00412F21">
        <w:rPr>
          <w:rFonts w:cstheme="minorHAnsi"/>
          <w:color w:val="000000" w:themeColor="text1"/>
        </w:rPr>
        <w:t xml:space="preserve">he Carer Support Needs Assessment Tool encompasses the physical, psychological, social, practical, financial, and spiritual support needs that government policies in many countries emphasize should be assessed and addressed for family caregivers during end-of-life care. </w:t>
      </w:r>
      <w:r w:rsidRPr="00412F21">
        <w:rPr>
          <w:rFonts w:cstheme="minorHAnsi"/>
          <w:color w:val="000000" w:themeColor="text1"/>
          <w:shd w:val="clear" w:color="auto" w:fill="FFFFFF"/>
        </w:rPr>
        <w:t xml:space="preserve">The overwhelming majority reported finding the Carer Support Needs Assessment Tool assessment process straightforward and easy. Four key themes were identified: (1) the practicality and usefulness of the systematic assessment; (2) emotional responses to caregiver reflection; (3) validation, reassurance, and empowerment; and (4) accessing support and how this was experienced </w:t>
      </w:r>
      <w:r w:rsidRPr="00412F21">
        <w:rPr>
          <w:rFonts w:cstheme="minorHAnsi"/>
          <w:color w:val="000000" w:themeColor="text1"/>
          <w:shd w:val="clear" w:color="auto" w:fill="FFFFFF"/>
        </w:rPr>
        <w:fldChar w:fldCharType="begin"/>
      </w:r>
      <w:r w:rsidRPr="00412F21">
        <w:rPr>
          <w:rFonts w:cstheme="minorHAnsi"/>
          <w:color w:val="000000" w:themeColor="text1"/>
          <w:shd w:val="clear" w:color="auto" w:fill="FFFFFF"/>
        </w:rPr>
        <w:instrText xml:space="preserve"> ADDIN EN.CITE &lt;EndNote&gt;&lt;Cite&gt;&lt;Author&gt;Aoun&lt;/Author&gt;&lt;Year&gt;2015&lt;/Year&gt;&lt;RecNum&gt;1506&lt;/RecNum&gt;&lt;DisplayText&gt;(Aoun&lt;style face="italic"&gt; et al.&lt;/style&gt;, 2015)&lt;/DisplayText&gt;&lt;record&gt;&lt;rec-number&gt;1506&lt;/rec-number&gt;&lt;foreign-keys&gt;&lt;key app="EN" db-id="xs9axatw70vf2ze9vdmxt0skppvsfd0tst5z" timestamp="1697104065" guid="3019f5bd-64b6-4682-9f33-65e4a9eb6579"&gt;1506&lt;/key&gt;&lt;/foreign-keys&gt;&lt;ref-type name="Journal Article"&gt;17&lt;/ref-type&gt;&lt;contributors&gt;&lt;authors&gt;&lt;author&gt;Aoun, Samar&lt;/author&gt;&lt;author&gt;Deas, Kathleen&lt;/author&gt;&lt;author&gt;Toye, Chris&lt;/author&gt;&lt;author&gt;Ewing, Gail&lt;/author&gt;&lt;author&gt;Grande, Gunn&lt;/author&gt;&lt;author&gt;Stajduhar, Kelli&lt;/author&gt;&lt;/authors&gt;&lt;/contributors&gt;&lt;titles&gt;&lt;title&gt;Supporting family caregivers to identify their own needs in end-of-life care: Qualitative findings from a stepped wedge cluster trial&lt;/title&gt;&lt;secondary-title&gt;Palliative medicine&lt;/secondary-title&gt;&lt;/titles&gt;&lt;periodical&gt;&lt;full-title&gt;Palliative medicine&lt;/full-title&gt;&lt;/periodical&gt;&lt;pages&gt;508-517&lt;/pages&gt;&lt;volume&gt;29&lt;/volume&gt;&lt;number&gt;6&lt;/number&gt;&lt;dates&gt;&lt;year&gt;2015&lt;/year&gt;&lt;/dates&gt;&lt;isbn&gt;0269-2163&lt;/isbn&gt;&lt;urls&gt;&lt;/urls&gt;&lt;/record&gt;&lt;/Cite&gt;&lt;/EndNote&gt;</w:instrText>
      </w:r>
      <w:r w:rsidRPr="00412F21">
        <w:rPr>
          <w:rFonts w:cstheme="minorHAnsi"/>
          <w:color w:val="000000" w:themeColor="text1"/>
          <w:shd w:val="clear" w:color="auto" w:fill="FFFFFF"/>
        </w:rPr>
        <w:fldChar w:fldCharType="separate"/>
      </w:r>
      <w:r w:rsidRPr="00412F21">
        <w:rPr>
          <w:rFonts w:cstheme="minorHAnsi"/>
          <w:noProof/>
          <w:color w:val="000000" w:themeColor="text1"/>
          <w:shd w:val="clear" w:color="auto" w:fill="FFFFFF"/>
        </w:rPr>
        <w:t>(Aoun</w:t>
      </w:r>
      <w:r w:rsidRPr="00412F21">
        <w:rPr>
          <w:rFonts w:cstheme="minorHAnsi"/>
          <w:i/>
          <w:noProof/>
          <w:color w:val="000000" w:themeColor="text1"/>
          <w:shd w:val="clear" w:color="auto" w:fill="FFFFFF"/>
        </w:rPr>
        <w:t xml:space="preserve"> et al.</w:t>
      </w:r>
      <w:r w:rsidRPr="00412F21">
        <w:rPr>
          <w:rFonts w:cstheme="minorHAnsi"/>
          <w:noProof/>
          <w:color w:val="000000" w:themeColor="text1"/>
          <w:shd w:val="clear" w:color="auto" w:fill="FFFFFF"/>
        </w:rPr>
        <w:t>, 2015)</w:t>
      </w:r>
      <w:r w:rsidRPr="00412F21">
        <w:rPr>
          <w:rFonts w:cstheme="minorHAnsi"/>
          <w:color w:val="000000" w:themeColor="text1"/>
          <w:shd w:val="clear" w:color="auto" w:fill="FFFFFF"/>
        </w:rPr>
        <w:fldChar w:fldCharType="end"/>
      </w:r>
    </w:p>
    <w:p w14:paraId="4FD3FFFB" w14:textId="77777777" w:rsidR="00412F21" w:rsidRPr="00CC5E6C" w:rsidRDefault="00412F21" w:rsidP="00412F21">
      <w:r w:rsidRPr="00B8678C">
        <w:rPr>
          <w:rFonts w:asciiTheme="minorHAnsi" w:hAnsiTheme="minorHAnsi" w:cstheme="minorHAnsi"/>
          <w:b/>
          <w:bCs/>
        </w:rPr>
        <w:t>The main recommendations put forward by the above papers include:</w:t>
      </w:r>
    </w:p>
    <w:p w14:paraId="131010BC" w14:textId="77777777" w:rsidR="00412F21" w:rsidRDefault="00412F21" w:rsidP="00412F21"/>
    <w:p w14:paraId="6A5EB9E3" w14:textId="6B241EE5" w:rsidR="00412F21" w:rsidRPr="00412F21" w:rsidRDefault="00412F21" w:rsidP="00412F21">
      <w:pPr>
        <w:pStyle w:val="ListParagraph"/>
        <w:numPr>
          <w:ilvl w:val="0"/>
          <w:numId w:val="3"/>
        </w:numPr>
        <w:rPr>
          <w:rFonts w:cstheme="minorHAnsi"/>
          <w:b/>
          <w:bCs/>
        </w:rPr>
      </w:pPr>
      <w:r w:rsidRPr="00412F21">
        <w:rPr>
          <w:rFonts w:cstheme="minorHAnsi"/>
          <w:b/>
          <w:bCs/>
          <w:shd w:val="clear" w:color="auto" w:fill="FFFFFF"/>
        </w:rPr>
        <w:t>The Carer Support Needs Assessment Tool presented a simple, yet potentially effective intervention to help palliative care providers systematically assess and address family caregivers’ needs. The Carer Support Needs Assessment Tool provided a formal structure to facilitate discussions with family caregivers to enable needs to be addressed.</w:t>
      </w:r>
    </w:p>
    <w:p w14:paraId="15B92AAF" w14:textId="23C7F7C3" w:rsidR="00FE25D4" w:rsidRPr="00FE25D4" w:rsidRDefault="00FE25D4" w:rsidP="00FE25D4"/>
    <w:p w14:paraId="1073F05A" w14:textId="0F8B645C" w:rsidR="00FE25D4" w:rsidRPr="00412F21" w:rsidRDefault="00FE25D4" w:rsidP="00412F21">
      <w:pPr>
        <w:pStyle w:val="Heading2"/>
        <w:rPr>
          <w:b/>
          <w:bCs/>
        </w:rPr>
      </w:pPr>
      <w:r w:rsidRPr="00412F21">
        <w:rPr>
          <w:b/>
          <w:bCs/>
        </w:rPr>
        <w:t xml:space="preserve">Autonomy and Choice </w:t>
      </w:r>
    </w:p>
    <w:p w14:paraId="3CC7255F" w14:textId="77777777" w:rsidR="00412F21" w:rsidRDefault="00412F21">
      <w:pPr>
        <w:rPr>
          <w:rFonts w:asciiTheme="majorHAnsi" w:hAnsiTheme="majorHAnsi" w:cstheme="majorHAnsi"/>
          <w:b/>
          <w:bCs/>
          <w:sz w:val="28"/>
          <w:szCs w:val="28"/>
        </w:rPr>
      </w:pPr>
    </w:p>
    <w:p w14:paraId="7993FFD7" w14:textId="663FD8C2" w:rsidR="00412F21" w:rsidRPr="00001B16" w:rsidRDefault="00412F21" w:rsidP="00412F21">
      <w:pPr>
        <w:pStyle w:val="ListParagraph"/>
        <w:numPr>
          <w:ilvl w:val="0"/>
          <w:numId w:val="2"/>
        </w:numPr>
        <w:spacing w:after="160" w:line="259" w:lineRule="auto"/>
        <w:rPr>
          <w:rFonts w:cstheme="minorHAnsi"/>
          <w:b/>
          <w:bCs/>
        </w:rPr>
      </w:pPr>
      <w:r w:rsidRPr="00001B16">
        <w:rPr>
          <w:rFonts w:cstheme="minorHAnsi"/>
          <w:color w:val="000000" w:themeColor="text1"/>
        </w:rPr>
        <w:t>The predominating definition of autonomy as a capacity to make an independent rational choice may not be suitable for patients in </w:t>
      </w:r>
      <w:hyperlink r:id="rId10" w:tooltip="Learn more about palliative care from ScienceDirect's AI-generated Topic Pages" w:history="1">
        <w:r w:rsidRPr="00001B16">
          <w:rPr>
            <w:rStyle w:val="Hyperlink"/>
            <w:rFonts w:cstheme="minorHAnsi"/>
            <w:color w:val="000000" w:themeColor="text1"/>
            <w:u w:val="none"/>
          </w:rPr>
          <w:t>palliative care</w:t>
        </w:r>
      </w:hyperlink>
      <w:r w:rsidRPr="00001B16">
        <w:rPr>
          <w:rFonts w:cstheme="minorHAnsi"/>
          <w:color w:val="000000" w:themeColor="text1"/>
        </w:rPr>
        <w:t>. Therefrom arises the actual need for more contextualized perspectives on autonomy to promote the </w:t>
      </w:r>
      <w:hyperlink r:id="rId11" w:tooltip="Learn more about quality of life from ScienceDirect's AI-generated Topic Pages" w:history="1">
        <w:r w:rsidRPr="00001B16">
          <w:rPr>
            <w:rStyle w:val="Hyperlink"/>
            <w:rFonts w:cstheme="minorHAnsi"/>
            <w:color w:val="000000" w:themeColor="text1"/>
            <w:u w:val="none"/>
          </w:rPr>
          <w:t>quality of life</w:t>
        </w:r>
      </w:hyperlink>
      <w:r w:rsidRPr="00001B16">
        <w:rPr>
          <w:rFonts w:cstheme="minorHAnsi"/>
          <w:color w:val="000000" w:themeColor="text1"/>
        </w:rPr>
        <w:t> and satisfaction with care of </w:t>
      </w:r>
      <w:hyperlink r:id="rId12" w:tooltip="Learn more about terminally ill from ScienceDirect's AI-generated Topic Pages" w:history="1">
        <w:r w:rsidRPr="00001B16">
          <w:rPr>
            <w:rStyle w:val="Hyperlink"/>
            <w:rFonts w:cstheme="minorHAnsi"/>
            <w:color w:val="000000" w:themeColor="text1"/>
            <w:u w:val="none"/>
          </w:rPr>
          <w:t>terminally ill</w:t>
        </w:r>
      </w:hyperlink>
      <w:r w:rsidRPr="00001B16">
        <w:rPr>
          <w:rFonts w:cstheme="minorHAnsi"/>
          <w:color w:val="000000" w:themeColor="text1"/>
        </w:rPr>
        <w:t xml:space="preserve"> patients </w:t>
      </w:r>
      <w:r w:rsidRPr="00001B16">
        <w:rPr>
          <w:rFonts w:cstheme="minorHAnsi"/>
          <w:color w:val="000000" w:themeColor="text1"/>
        </w:rPr>
        <w:fldChar w:fldCharType="begin"/>
      </w:r>
      <w:r w:rsidR="003441F6">
        <w:rPr>
          <w:rFonts w:cstheme="minorHAnsi"/>
          <w:color w:val="000000" w:themeColor="text1"/>
        </w:rPr>
        <w:instrText xml:space="preserve"> ADDIN EN.CITE &lt;EndNote&gt;&lt;Cite&gt;&lt;Author&gt;Houska&lt;/Author&gt;&lt;Year&gt;2019&lt;/Year&gt;&lt;RecNum&gt;1507&lt;/RecNum&gt;&lt;DisplayText&gt;(Houska &amp;amp; Loučka, 2019)&lt;/DisplayText&gt;&lt;record&gt;&lt;rec-number&gt;1507&lt;/rec-number&gt;&lt;foreign-keys&gt;&lt;key app="EN" db-id="xs9axatw70vf2ze9vdmxt0skppvsfd0tst5z" timestamp="1697104535" guid="fb42fb44-d892-4f11-9a87-828746f3ee6b"&gt;1507&lt;/key&gt;&lt;/foreign-keys&gt;&lt;ref-type name="Journal Article"&gt;17&lt;/ref-type&gt;&lt;contributors&gt;&lt;authors&gt;&lt;author&gt;Houska, Adam&lt;/author&gt;&lt;author&gt;Loučka, Martin&lt;/author&gt;&lt;/authors&gt;&lt;/contributors&gt;&lt;titles&gt;&lt;title&gt;Patients&amp;apos; autonomy at the end of life: a critical review&lt;/title&gt;&lt;secondary-title&gt;Journal of pain and symptom management&lt;/secondary-title&gt;&lt;/titles&gt;&lt;periodical&gt;&lt;full-title&gt;Journal of pain and symptom management&lt;/full-title&gt;&lt;/periodical&gt;&lt;pages&gt;835-845&lt;/pages&gt;&lt;volume&gt;57&lt;/volume&gt;&lt;number&gt;4&lt;/number&gt;&lt;dates&gt;&lt;year&gt;2019&lt;/year&gt;&lt;/dates&gt;&lt;isbn&gt;0885-3924&lt;/isbn&gt;&lt;urls&gt;&lt;/urls&gt;&lt;/record&gt;&lt;/Cite&gt;&lt;/EndNote&gt;</w:instrText>
      </w:r>
      <w:r w:rsidRPr="00001B16">
        <w:rPr>
          <w:rFonts w:cstheme="minorHAnsi"/>
          <w:color w:val="000000" w:themeColor="text1"/>
        </w:rPr>
        <w:fldChar w:fldCharType="separate"/>
      </w:r>
      <w:r w:rsidRPr="00001B16">
        <w:rPr>
          <w:rFonts w:cstheme="minorHAnsi"/>
          <w:noProof/>
          <w:color w:val="000000" w:themeColor="text1"/>
        </w:rPr>
        <w:t>(Houska &amp; Loučka, 2019)</w:t>
      </w:r>
      <w:r w:rsidRPr="00001B16">
        <w:rPr>
          <w:rFonts w:cstheme="minorHAnsi"/>
          <w:color w:val="000000" w:themeColor="text1"/>
        </w:rPr>
        <w:fldChar w:fldCharType="end"/>
      </w:r>
    </w:p>
    <w:p w14:paraId="29281D4F" w14:textId="3E932537" w:rsidR="00AD68E5" w:rsidRPr="00001B16" w:rsidRDefault="00AD68E5" w:rsidP="00412F21">
      <w:pPr>
        <w:pStyle w:val="ListParagraph"/>
        <w:numPr>
          <w:ilvl w:val="0"/>
          <w:numId w:val="2"/>
        </w:numPr>
        <w:spacing w:after="160" w:line="259" w:lineRule="auto"/>
        <w:rPr>
          <w:rFonts w:cstheme="minorHAnsi"/>
          <w:b/>
          <w:bCs/>
        </w:rPr>
      </w:pPr>
      <w:r w:rsidRPr="00001B16">
        <w:rPr>
          <w:rFonts w:cstheme="minorHAnsi"/>
          <w:color w:val="000000" w:themeColor="text1"/>
          <w:shd w:val="clear" w:color="auto" w:fill="FCFCFC"/>
        </w:rPr>
        <w:t xml:space="preserve">Patient autonomy in healthcare is bounded, as while patients were generally encouraged to express their preferences for care, medical norms about the quality and ‘reasonableness’ of care, the availability of services and the patients’ family relationships act to enhance or limit patients’ capacity to realize their preferences. </w:t>
      </w:r>
      <w:r w:rsidRPr="00001B16">
        <w:rPr>
          <w:rFonts w:cstheme="minorHAnsi"/>
          <w:color w:val="000000" w:themeColor="text1"/>
        </w:rPr>
        <w:t xml:space="preserve">Autonomous palliative care programs, therefore, may be rejected by healthcare professionals as irrelevant to care or may have the unintended consequence of limiting patient autonomy when used as a professional tool to encourage a ‘right’ way to die </w:t>
      </w:r>
      <w:r w:rsidRPr="00001B16">
        <w:rPr>
          <w:rFonts w:cstheme="minorHAnsi"/>
          <w:color w:val="000000" w:themeColor="text1"/>
        </w:rPr>
        <w:fldChar w:fldCharType="begin"/>
      </w:r>
      <w:r w:rsidR="003441F6">
        <w:rPr>
          <w:rFonts w:cstheme="minorHAnsi"/>
          <w:color w:val="000000" w:themeColor="text1"/>
        </w:rPr>
        <w:instrText xml:space="preserve"> ADDIN EN.CITE &lt;EndNote&gt;&lt;Cite&gt;&lt;Author&gt;Johnson&lt;/Author&gt;&lt;Year&gt;2018&lt;/Year&gt;&lt;RecNum&gt;1508&lt;/RecNum&gt;&lt;DisplayText&gt;(Johnson&lt;style face="italic"&gt; et al.&lt;/style&gt;, 2018)&lt;/DisplayText&gt;&lt;record&gt;&lt;rec-number&gt;1508&lt;/rec-number&gt;&lt;foreign-keys&gt;&lt;key app="EN" db-id="xs9axatw70vf2ze9vdmxt0skppvsfd0tst5z" timestamp="1697104712" guid="8295d83d-42a5-4ab8-bc4d-77fed65ea725"&gt;1508&lt;/key&gt;&lt;/foreign-keys&gt;&lt;ref-type name="Journal Article"&gt;17&lt;/ref-type&gt;&lt;contributors&gt;&lt;authors&gt;&lt;author&gt;Johnson, Stephanie B&lt;/author&gt;&lt;author&gt;Butow, Phyllis N&lt;/author&gt;&lt;author&gt;Kerridge, Ian&lt;/author&gt;&lt;author&gt;Tattersall, Martin HN&lt;/author&gt;&lt;/authors&gt;&lt;/contributors&gt;&lt;titles&gt;&lt;title&gt;Patient autonomy and advance care planning: a qualitative study of oncologist and palliative care physicians’ perspectives&lt;/title&gt;&lt;secondary-title&gt;Supportive Care in Cancer&lt;/secondary-title&gt;&lt;/titles&gt;&lt;periodical&gt;&lt;full-title&gt;Supportive Care in Cancer&lt;/full-title&gt;&lt;/periodical&gt;&lt;pages&gt;565-574&lt;/pages&gt;&lt;volume&gt;26&lt;/volume&gt;&lt;dates&gt;&lt;year&gt;2018&lt;/year&gt;&lt;/dates&gt;&lt;isbn&gt;0941-4355&lt;/isbn&gt;&lt;urls&gt;&lt;/urls&gt;&lt;/record&gt;&lt;/Cite&gt;&lt;/EndNote&gt;</w:instrText>
      </w:r>
      <w:r w:rsidRPr="00001B16">
        <w:rPr>
          <w:rFonts w:cstheme="minorHAnsi"/>
          <w:color w:val="000000" w:themeColor="text1"/>
        </w:rPr>
        <w:fldChar w:fldCharType="separate"/>
      </w:r>
      <w:r w:rsidRPr="00001B16">
        <w:rPr>
          <w:rFonts w:cstheme="minorHAnsi"/>
          <w:noProof/>
          <w:color w:val="000000" w:themeColor="text1"/>
        </w:rPr>
        <w:t>(Johnson</w:t>
      </w:r>
      <w:r w:rsidRPr="00001B16">
        <w:rPr>
          <w:rFonts w:cstheme="minorHAnsi"/>
          <w:i/>
          <w:noProof/>
          <w:color w:val="000000" w:themeColor="text1"/>
        </w:rPr>
        <w:t xml:space="preserve"> et al.</w:t>
      </w:r>
      <w:r w:rsidRPr="00001B16">
        <w:rPr>
          <w:rFonts w:cstheme="minorHAnsi"/>
          <w:noProof/>
          <w:color w:val="000000" w:themeColor="text1"/>
        </w:rPr>
        <w:t>, 2018)</w:t>
      </w:r>
      <w:r w:rsidRPr="00001B16">
        <w:rPr>
          <w:rFonts w:cstheme="minorHAnsi"/>
          <w:color w:val="000000" w:themeColor="text1"/>
        </w:rPr>
        <w:fldChar w:fldCharType="end"/>
      </w:r>
    </w:p>
    <w:p w14:paraId="45822D04" w14:textId="184FEDE3" w:rsidR="00AD68E5" w:rsidRPr="00001B16" w:rsidRDefault="00AD68E5" w:rsidP="00412F21">
      <w:pPr>
        <w:pStyle w:val="ListParagraph"/>
        <w:numPr>
          <w:ilvl w:val="0"/>
          <w:numId w:val="2"/>
        </w:numPr>
        <w:spacing w:after="160" w:line="259" w:lineRule="auto"/>
        <w:rPr>
          <w:rFonts w:cstheme="minorHAnsi"/>
          <w:b/>
          <w:bCs/>
        </w:rPr>
      </w:pPr>
      <w:r w:rsidRPr="00001B16">
        <w:rPr>
          <w:rFonts w:cstheme="minorHAnsi"/>
          <w:color w:val="000000" w:themeColor="text1"/>
          <w:shd w:val="clear" w:color="auto" w:fill="FFFFFF"/>
        </w:rPr>
        <w:t xml:space="preserve">Respect for autonomy is a paramount principle in end-of-life ethics. Nevertheless, empirical studies show that decision-making, exclusively focused on the individual exercise of autonomy fails to align well with patients’ preferences at the end of life. The need for a more contextualized approach that meets real-life complexities experienced in end-of-life practices has been repeatedly advocated </w:t>
      </w:r>
      <w:r w:rsidRPr="00001B16">
        <w:rPr>
          <w:rFonts w:cstheme="minorHAnsi"/>
          <w:color w:val="000000" w:themeColor="text1"/>
          <w:shd w:val="clear" w:color="auto" w:fill="FFFFFF"/>
        </w:rPr>
        <w:fldChar w:fldCharType="begin"/>
      </w:r>
      <w:r w:rsidR="003441F6">
        <w:rPr>
          <w:rFonts w:cstheme="minorHAnsi"/>
          <w:color w:val="000000" w:themeColor="text1"/>
          <w:shd w:val="clear" w:color="auto" w:fill="FFFFFF"/>
        </w:rPr>
        <w:instrText xml:space="preserve"> ADDIN EN.CITE &lt;EndNote&gt;&lt;Cite&gt;&lt;Author&gt;Gómez-Vírseda&lt;/Author&gt;&lt;Year&gt;2020&lt;/Year&gt;&lt;RecNum&gt;1509&lt;/RecNum&gt;&lt;DisplayText&gt;(Gómez-Vírseda&lt;style face="italic"&gt; et al.&lt;/style&gt;, 2020)&lt;/DisplayText&gt;&lt;record&gt;&lt;rec-number&gt;1509&lt;/rec-number&gt;&lt;foreign-keys&gt;&lt;key app="EN" db-id="xs9axatw70vf2ze9vdmxt0skppvsfd0tst5z" timestamp="1697104743" guid="a61d1547-0284-48b4-9e20-42c58d9f1564"&gt;1509&lt;/key&gt;&lt;/foreign-keys&gt;&lt;ref-type name="Journal Article"&gt;17&lt;/ref-type&gt;&lt;contributors&gt;&lt;authors&gt;&lt;author&gt;Gómez-Vírseda, Carlos&lt;/author&gt;&lt;author&gt;De Maeseneer, Yves&lt;/author&gt;&lt;author&gt;Gastmans, Chris&lt;/author&gt;&lt;/authors&gt;&lt;/contributors&gt;&lt;titles&gt;&lt;title&gt;Relational autonomy in end-of-life care ethics: a contextualized approach to real-life complexities&lt;/title&gt;&lt;secondary-title&gt;BMC Medical Ethics&lt;/secondary-title&gt;&lt;/titles&gt;&lt;periodical&gt;&lt;full-title&gt;BMC Medical Ethics&lt;/full-title&gt;&lt;/periodical&gt;&lt;pages&gt;1-14&lt;/pages&gt;&lt;volume&gt;21&lt;/volume&gt;&lt;dates&gt;&lt;year&gt;2020&lt;/year&gt;&lt;/dates&gt;&lt;urls&gt;&lt;/urls&gt;&lt;/record&gt;&lt;/Cite&gt;&lt;/EndNote&gt;</w:instrText>
      </w:r>
      <w:r w:rsidRPr="00001B16">
        <w:rPr>
          <w:rFonts w:cstheme="minorHAnsi"/>
          <w:color w:val="000000" w:themeColor="text1"/>
          <w:shd w:val="clear" w:color="auto" w:fill="FFFFFF"/>
        </w:rPr>
        <w:fldChar w:fldCharType="separate"/>
      </w:r>
      <w:r w:rsidRPr="00001B16">
        <w:rPr>
          <w:rFonts w:cstheme="minorHAnsi"/>
          <w:noProof/>
          <w:color w:val="000000" w:themeColor="text1"/>
          <w:shd w:val="clear" w:color="auto" w:fill="FFFFFF"/>
        </w:rPr>
        <w:t>(Gómez-Vírseda</w:t>
      </w:r>
      <w:r w:rsidRPr="00001B16">
        <w:rPr>
          <w:rFonts w:cstheme="minorHAnsi"/>
          <w:i/>
          <w:noProof/>
          <w:color w:val="000000" w:themeColor="text1"/>
          <w:shd w:val="clear" w:color="auto" w:fill="FFFFFF"/>
        </w:rPr>
        <w:t xml:space="preserve"> et al.</w:t>
      </w:r>
      <w:r w:rsidRPr="00001B16">
        <w:rPr>
          <w:rFonts w:cstheme="minorHAnsi"/>
          <w:noProof/>
          <w:color w:val="000000" w:themeColor="text1"/>
          <w:shd w:val="clear" w:color="auto" w:fill="FFFFFF"/>
        </w:rPr>
        <w:t>, 2020)</w:t>
      </w:r>
      <w:r w:rsidRPr="00001B16">
        <w:rPr>
          <w:rFonts w:cstheme="minorHAnsi"/>
          <w:color w:val="000000" w:themeColor="text1"/>
          <w:shd w:val="clear" w:color="auto" w:fill="FFFFFF"/>
        </w:rPr>
        <w:fldChar w:fldCharType="end"/>
      </w:r>
    </w:p>
    <w:p w14:paraId="15E97AB1" w14:textId="77777777" w:rsidR="00001B16" w:rsidRDefault="00001B16" w:rsidP="00001B16">
      <w:pPr>
        <w:pStyle w:val="ListParagraph"/>
        <w:spacing w:after="160" w:line="259" w:lineRule="auto"/>
        <w:rPr>
          <w:rFonts w:cstheme="minorHAnsi"/>
          <w:b/>
          <w:bCs/>
        </w:rPr>
      </w:pPr>
    </w:p>
    <w:p w14:paraId="66260D3C" w14:textId="77777777" w:rsidR="00001B16" w:rsidRDefault="00001B16" w:rsidP="00001B16">
      <w:pPr>
        <w:pStyle w:val="ListParagraph"/>
        <w:spacing w:after="160" w:line="259" w:lineRule="auto"/>
        <w:rPr>
          <w:rFonts w:cstheme="minorHAnsi"/>
          <w:b/>
          <w:bCs/>
        </w:rPr>
      </w:pPr>
    </w:p>
    <w:p w14:paraId="33E1108D" w14:textId="77777777" w:rsidR="00001B16" w:rsidRPr="00412F21" w:rsidRDefault="00001B16" w:rsidP="00001B16">
      <w:pPr>
        <w:pStyle w:val="ListParagraph"/>
        <w:spacing w:after="160" w:line="259" w:lineRule="auto"/>
        <w:rPr>
          <w:rFonts w:cstheme="minorHAnsi"/>
          <w:b/>
          <w:bCs/>
        </w:rPr>
      </w:pPr>
    </w:p>
    <w:p w14:paraId="3DCAC308" w14:textId="77777777" w:rsidR="00412F21" w:rsidRPr="00CC5E6C" w:rsidRDefault="00412F21" w:rsidP="00412F21">
      <w:r w:rsidRPr="00B8678C">
        <w:rPr>
          <w:rFonts w:asciiTheme="minorHAnsi" w:hAnsiTheme="minorHAnsi" w:cstheme="minorHAnsi"/>
          <w:b/>
          <w:bCs/>
        </w:rPr>
        <w:lastRenderedPageBreak/>
        <w:t>The main recommendations put forward by the above papers include:</w:t>
      </w:r>
    </w:p>
    <w:p w14:paraId="26A8E159" w14:textId="77777777" w:rsidR="00412F21" w:rsidRDefault="00412F21" w:rsidP="00412F21"/>
    <w:p w14:paraId="54CDE340" w14:textId="46C45127" w:rsidR="00412F21" w:rsidRPr="00001B16" w:rsidRDefault="00412F21" w:rsidP="00622580">
      <w:pPr>
        <w:pStyle w:val="ListParagraph"/>
        <w:numPr>
          <w:ilvl w:val="0"/>
          <w:numId w:val="3"/>
        </w:numPr>
        <w:rPr>
          <w:rFonts w:cstheme="minorHAnsi"/>
          <w:b/>
          <w:bCs/>
          <w:sz w:val="28"/>
          <w:szCs w:val="28"/>
        </w:rPr>
      </w:pPr>
      <w:r w:rsidRPr="00001B16">
        <w:rPr>
          <w:rFonts w:cstheme="minorHAnsi"/>
          <w:b/>
          <w:bCs/>
        </w:rPr>
        <w:t>Maintaining autonomy at the end of life is not only a concern of making choices and decisions about </w:t>
      </w:r>
      <w:hyperlink r:id="rId13" w:tooltip="Learn more about treatment from ScienceDirect's AI-generated Topic Pages" w:history="1">
        <w:r w:rsidRPr="00001B16">
          <w:rPr>
            <w:rStyle w:val="Hyperlink"/>
            <w:rFonts w:cstheme="minorHAnsi"/>
            <w:b/>
            <w:bCs/>
            <w:color w:val="auto"/>
            <w:u w:val="none"/>
          </w:rPr>
          <w:t>treatment</w:t>
        </w:r>
      </w:hyperlink>
      <w:r w:rsidRPr="00001B16">
        <w:rPr>
          <w:rFonts w:cstheme="minorHAnsi"/>
          <w:b/>
          <w:bCs/>
        </w:rPr>
        <w:t> and care but that emphasis should be also put on supporting the patients' engagement in daily activities, in contributing to others, and in active preparation for dying.</w:t>
      </w:r>
    </w:p>
    <w:p w14:paraId="4936BC08" w14:textId="77777777" w:rsidR="00AD68E5" w:rsidRPr="00001B16" w:rsidRDefault="00AD68E5" w:rsidP="00AD68E5">
      <w:pPr>
        <w:pStyle w:val="NormalWeb"/>
        <w:numPr>
          <w:ilvl w:val="0"/>
          <w:numId w:val="3"/>
        </w:numPr>
        <w:spacing w:before="0" w:beforeAutospacing="0" w:after="360" w:afterAutospacing="0"/>
        <w:rPr>
          <w:rFonts w:asciiTheme="minorHAnsi" w:hAnsiTheme="minorHAnsi" w:cstheme="minorHAnsi"/>
          <w:b/>
          <w:bCs/>
        </w:rPr>
      </w:pPr>
      <w:r w:rsidRPr="00001B16">
        <w:rPr>
          <w:rFonts w:asciiTheme="minorHAnsi" w:hAnsiTheme="minorHAnsi" w:cstheme="minorHAnsi"/>
          <w:b/>
          <w:bCs/>
        </w:rPr>
        <w:t xml:space="preserve">A singular focus on bureaucratic Autonomous Palliative Care programs, which reduce patient autonomy to a ‘tick box’ exercise, may fail to enhance End </w:t>
      </w:r>
      <w:proofErr w:type="gramStart"/>
      <w:r w:rsidRPr="00001B16">
        <w:rPr>
          <w:rFonts w:asciiTheme="minorHAnsi" w:hAnsiTheme="minorHAnsi" w:cstheme="minorHAnsi"/>
          <w:b/>
          <w:bCs/>
        </w:rPr>
        <w:t>Of</w:t>
      </w:r>
      <w:proofErr w:type="gramEnd"/>
      <w:r w:rsidRPr="00001B16">
        <w:rPr>
          <w:rFonts w:asciiTheme="minorHAnsi" w:hAnsiTheme="minorHAnsi" w:cstheme="minorHAnsi"/>
          <w:b/>
          <w:bCs/>
        </w:rPr>
        <w:t xml:space="preserve"> Life care in any meaningful way.</w:t>
      </w:r>
    </w:p>
    <w:p w14:paraId="346522BE" w14:textId="62680E47" w:rsidR="00AD68E5" w:rsidRPr="00001B16" w:rsidRDefault="00AD68E5" w:rsidP="00AD68E5">
      <w:pPr>
        <w:pStyle w:val="NormalWeb"/>
        <w:numPr>
          <w:ilvl w:val="0"/>
          <w:numId w:val="3"/>
        </w:numPr>
        <w:spacing w:before="0" w:beforeAutospacing="0" w:after="360" w:afterAutospacing="0"/>
        <w:rPr>
          <w:rFonts w:asciiTheme="minorHAnsi" w:hAnsiTheme="minorHAnsi" w:cstheme="minorHAnsi"/>
          <w:b/>
          <w:bCs/>
        </w:rPr>
      </w:pPr>
      <w:r w:rsidRPr="00001B16">
        <w:rPr>
          <w:rFonts w:asciiTheme="minorHAnsi" w:hAnsiTheme="minorHAnsi" w:cstheme="minorHAnsi"/>
          <w:b/>
          <w:bCs/>
          <w:shd w:val="clear" w:color="auto" w:fill="FFFFFF"/>
        </w:rPr>
        <w:t>Autonomy entails more than merely possessing cognitive capacity and autonomy is not a binary ‘all – or – nothing’ notion but rather a multidimensional capacity. Often, this makes autonomy more complex and less neat. This, however, is a fair price to pay when focusing on “actual autonomy” and not on “ideal autonomy”. Focusing on actual autonomy brings ethical reflection to bear on the mundane, interstitial, ongoing reality, rather than on idealized crises or problems. Rather than creating neat procedural outcomes for hypothetical ethical conflicts, relational ethics is particularly helpful in guiding day-to-day ethical situations that occur between real people.</w:t>
      </w:r>
    </w:p>
    <w:p w14:paraId="55406F08" w14:textId="695616DA" w:rsidR="003441F6" w:rsidRPr="003441F6" w:rsidRDefault="003441F6" w:rsidP="003441F6">
      <w:pPr>
        <w:pStyle w:val="Heading2"/>
        <w:rPr>
          <w:b/>
          <w:bCs/>
        </w:rPr>
      </w:pPr>
      <w:r w:rsidRPr="003441F6">
        <w:rPr>
          <w:b/>
          <w:bCs/>
        </w:rPr>
        <w:t>Compassionate and Community Care</w:t>
      </w:r>
    </w:p>
    <w:p w14:paraId="27A64226" w14:textId="77777777" w:rsidR="003441F6" w:rsidRDefault="003441F6"/>
    <w:p w14:paraId="5475F615" w14:textId="317CE762" w:rsidR="003441F6" w:rsidRPr="003441F6" w:rsidRDefault="003441F6" w:rsidP="003441F6">
      <w:pPr>
        <w:pStyle w:val="ListParagraph"/>
        <w:numPr>
          <w:ilvl w:val="0"/>
          <w:numId w:val="2"/>
        </w:numPr>
        <w:spacing w:after="160" w:line="259" w:lineRule="auto"/>
        <w:rPr>
          <w:rFonts w:cstheme="minorHAnsi"/>
          <w:b/>
          <w:bCs/>
        </w:rPr>
      </w:pPr>
      <w:r>
        <w:t xml:space="preserve">Promoting good social, psychological, spiritual as well as physical health while living with a life-limiting illness makes good sense. Involving schools, workplaces, places of worship, the mass media or local businesses could help mobilize untapped sources of social and spiritual care and support as well as practical resources </w:t>
      </w:r>
      <w:r>
        <w:fldChar w:fldCharType="begin"/>
      </w:r>
      <w:r>
        <w:instrText xml:space="preserve"> ADDIN EN.CITE &lt;EndNote&gt;&lt;Cite&gt;&lt;Author&gt;Kellehear&lt;/Author&gt;&lt;Year&gt;2013&lt;/Year&gt;&lt;RecNum&gt;1510&lt;/RecNum&gt;&lt;DisplayText&gt;(Kellehear, 2013)&lt;/DisplayText&gt;&lt;record&gt;&lt;rec-number&gt;1510&lt;/rec-number&gt;&lt;foreign-keys&gt;&lt;key app="EN" db-id="xs9axatw70vf2ze9vdmxt0skppvsfd0tst5z" timestamp="1697105596"&gt;1510&lt;/key&gt;&lt;/foreign-keys&gt;&lt;ref-type name="Journal Article"&gt;17&lt;/ref-type&gt;&lt;contributors&gt;&lt;authors&gt;&lt;author&gt;Kellehear, Allan&lt;/author&gt;&lt;/authors&gt;&lt;/contributors&gt;&lt;titles&gt;&lt;title&gt;Compassionate communities: end-of-life care as everyone’s responsibility&lt;/title&gt;&lt;secondary-title&gt;QJM: An International Journal of Medicine&lt;/secondary-title&gt;&lt;/titles&gt;&lt;periodical&gt;&lt;full-title&gt;QJM: An International Journal of Medicine&lt;/full-title&gt;&lt;/periodical&gt;&lt;pages&gt;1071-1075&lt;/pages&gt;&lt;volume&gt;106&lt;/volume&gt;&lt;number&gt;12&lt;/number&gt;&lt;dates&gt;&lt;year&gt;2013&lt;/year&gt;&lt;/dates&gt;&lt;isbn&gt;1460-2393&lt;/isbn&gt;&lt;urls&gt;&lt;/urls&gt;&lt;/record&gt;&lt;/Cite&gt;&lt;/EndNote&gt;</w:instrText>
      </w:r>
      <w:r>
        <w:fldChar w:fldCharType="separate"/>
      </w:r>
      <w:r>
        <w:rPr>
          <w:noProof/>
        </w:rPr>
        <w:t>(Kellehear, 2013)</w:t>
      </w:r>
      <w:r>
        <w:fldChar w:fldCharType="end"/>
      </w:r>
    </w:p>
    <w:p w14:paraId="12E8726C" w14:textId="0C041A77" w:rsidR="003441F6" w:rsidRPr="00602DC1" w:rsidRDefault="003441F6" w:rsidP="003441F6">
      <w:pPr>
        <w:pStyle w:val="ListParagraph"/>
        <w:numPr>
          <w:ilvl w:val="0"/>
          <w:numId w:val="2"/>
        </w:numPr>
        <w:spacing w:after="160" w:line="259" w:lineRule="auto"/>
        <w:rPr>
          <w:rFonts w:cstheme="minorHAnsi"/>
          <w:b/>
          <w:bCs/>
        </w:rPr>
      </w:pPr>
      <w:r>
        <w:t xml:space="preserve">There is poor evidence of the implementation and evaluation models of Compassionate Communities and Cities (CCC) at the end of life. There is little and low-/very low-quality evidence about CCC development and assessment models. We found no data published on care intervention in advance disease and end of life. A global model for the development and evaluation of CCC at the end of life seems to be necessary </w:t>
      </w:r>
      <w:r>
        <w:fldChar w:fldCharType="begin"/>
      </w:r>
      <w:r>
        <w:instrText xml:space="preserve"> ADDIN EN.CITE &lt;EndNote&gt;&lt;Cite&gt;&lt;Author&gt;Librada-Flores&lt;/Author&gt;&lt;Year&gt;2020&lt;/Year&gt;&lt;RecNum&gt;1511&lt;/RecNum&gt;&lt;DisplayText&gt;(Librada-Flores&lt;style face="italic"&gt; et al.&lt;/style&gt;, 2020)&lt;/DisplayText&gt;&lt;record&gt;&lt;rec-number&gt;1511&lt;/rec-number&gt;&lt;foreign-keys&gt;&lt;key app="EN" db-id="xs9axatw70vf2ze9vdmxt0skppvsfd0tst5z" timestamp="1697105862"&gt;1511&lt;/key&gt;&lt;/foreign-keys&gt;&lt;ref-type name="Journal Article"&gt;17&lt;/ref-type&gt;&lt;contributors&gt;&lt;authors&gt;&lt;author&gt;Librada-Flores, Silvia&lt;/author&gt;&lt;author&gt;Nabal-Vicuña, María&lt;/author&gt;&lt;author&gt;Forero-Vega, Diana&lt;/author&gt;&lt;author&gt;Muñoz-Mayorga, Ingrid&lt;/author&gt;&lt;author&gt;Guerra-Martín, María Dolores&lt;/author&gt;&lt;/authors&gt;&lt;/contributors&gt;&lt;titles&gt;&lt;title&gt;Implementation models of compassionate communities and compassionate cities at the end of life: a systematic review&lt;/title&gt;&lt;secondary-title&gt;International journal of environmental research and public health&lt;/secondary-title&gt;&lt;/titles&gt;&lt;periodical&gt;&lt;full-title&gt;International Journal of Environmental Research and Public Health&lt;/full-title&gt;&lt;/periodical&gt;&lt;pages&gt;6271&lt;/pages&gt;&lt;volume&gt;17&lt;/volume&gt;&lt;number&gt;17&lt;/number&gt;&lt;dates&gt;&lt;year&gt;2020&lt;/year&gt;&lt;/dates&gt;&lt;isbn&gt;1660-4601&lt;/isbn&gt;&lt;urls&gt;&lt;/urls&gt;&lt;/record&gt;&lt;/Cite&gt;&lt;/EndNote&gt;</w:instrText>
      </w:r>
      <w:r>
        <w:fldChar w:fldCharType="separate"/>
      </w:r>
      <w:r>
        <w:rPr>
          <w:noProof/>
        </w:rPr>
        <w:t>(Librada-Flores</w:t>
      </w:r>
      <w:r w:rsidRPr="003441F6">
        <w:rPr>
          <w:i/>
          <w:noProof/>
        </w:rPr>
        <w:t xml:space="preserve"> et al.</w:t>
      </w:r>
      <w:r>
        <w:rPr>
          <w:noProof/>
        </w:rPr>
        <w:t>, 2020)</w:t>
      </w:r>
      <w:r>
        <w:fldChar w:fldCharType="end"/>
      </w:r>
    </w:p>
    <w:p w14:paraId="35C2B64C" w14:textId="7B8A9726" w:rsidR="00602DC1" w:rsidRPr="00001B16" w:rsidRDefault="00602DC1" w:rsidP="003441F6">
      <w:pPr>
        <w:pStyle w:val="ListParagraph"/>
        <w:numPr>
          <w:ilvl w:val="0"/>
          <w:numId w:val="2"/>
        </w:numPr>
        <w:spacing w:after="160" w:line="259" w:lineRule="auto"/>
        <w:rPr>
          <w:rFonts w:cstheme="minorHAnsi"/>
          <w:b/>
          <w:bCs/>
        </w:rPr>
      </w:pPr>
      <w:r>
        <w:t xml:space="preserve">Over the last decade or so, the public health approach to end of life care has increasingly been adopted and advocated by international palliative care services </w:t>
      </w:r>
      <w:r>
        <w:fldChar w:fldCharType="begin"/>
      </w:r>
      <w:r>
        <w:instrText xml:space="preserve"> ADDIN EN.CITE &lt;EndNote&gt;&lt;Cite&gt;&lt;Author&gt;Kellehear&lt;/Author&gt;&lt;Year&gt;2015&lt;/Year&gt;&lt;RecNum&gt;1512&lt;/RecNum&gt;&lt;DisplayText&gt;(Kellehear, 2015)&lt;/DisplayText&gt;&lt;record&gt;&lt;rec-number&gt;1512&lt;/rec-number&gt;&lt;foreign-keys&gt;&lt;key app="EN" db-id="xs9axatw70vf2ze9vdmxt0skppvsfd0tst5z" timestamp="1697106004"&gt;1512&lt;/key&gt;&lt;/foreign-keys&gt;&lt;ref-type name="Book Section"&gt;5&lt;/ref-type&gt;&lt;contributors&gt;&lt;authors&gt;&lt;author&gt;Kellehear, Allan&lt;/author&gt;&lt;/authors&gt;&lt;/contributors&gt;&lt;titles&gt;&lt;title&gt;The Compassionate City Charter: Inviting the cultural and social sectors into end of life care&lt;/title&gt;&lt;secondary-title&gt;Compassionate communities&lt;/secondary-title&gt;&lt;/titles&gt;&lt;pages&gt;76-87&lt;/pages&gt;&lt;dates&gt;&lt;year&gt;2015&lt;/year&gt;&lt;/dates&gt;&lt;publisher&gt;Routledge&lt;/publisher&gt;&lt;urls&gt;&lt;/urls&gt;&lt;/record&gt;&lt;/Cite&gt;&lt;/EndNote&gt;</w:instrText>
      </w:r>
      <w:r>
        <w:fldChar w:fldCharType="separate"/>
      </w:r>
      <w:r>
        <w:rPr>
          <w:noProof/>
        </w:rPr>
        <w:t>(Kellehear, 2015)</w:t>
      </w:r>
      <w:r>
        <w:fldChar w:fldCharType="end"/>
      </w:r>
    </w:p>
    <w:p w14:paraId="1EF9B4D0" w14:textId="77777777" w:rsidR="003441F6" w:rsidRPr="00412F21" w:rsidRDefault="003441F6" w:rsidP="003441F6">
      <w:pPr>
        <w:pStyle w:val="ListParagraph"/>
        <w:spacing w:after="160" w:line="259" w:lineRule="auto"/>
        <w:rPr>
          <w:rFonts w:cstheme="minorHAnsi"/>
          <w:b/>
          <w:bCs/>
        </w:rPr>
      </w:pPr>
    </w:p>
    <w:p w14:paraId="18F3C537" w14:textId="77777777" w:rsidR="003441F6" w:rsidRPr="00CC5E6C" w:rsidRDefault="003441F6" w:rsidP="003441F6">
      <w:r w:rsidRPr="00B8678C">
        <w:rPr>
          <w:rFonts w:asciiTheme="minorHAnsi" w:hAnsiTheme="minorHAnsi" w:cstheme="minorHAnsi"/>
          <w:b/>
          <w:bCs/>
        </w:rPr>
        <w:t>The main recommendations put forward by the above papers include:</w:t>
      </w:r>
    </w:p>
    <w:p w14:paraId="5AE183F4" w14:textId="77777777" w:rsidR="003441F6" w:rsidRDefault="003441F6" w:rsidP="003441F6"/>
    <w:p w14:paraId="66DB5FD2" w14:textId="53C25AAB" w:rsidR="003441F6" w:rsidRPr="003441F6" w:rsidRDefault="003441F6" w:rsidP="00B23F40">
      <w:pPr>
        <w:pStyle w:val="ListParagraph"/>
        <w:numPr>
          <w:ilvl w:val="0"/>
          <w:numId w:val="3"/>
        </w:numPr>
        <w:rPr>
          <w:b/>
          <w:bCs/>
        </w:rPr>
      </w:pPr>
      <w:r w:rsidRPr="003441F6">
        <w:rPr>
          <w:b/>
          <w:bCs/>
        </w:rPr>
        <w:t>End-of-life care, like contemporary health care as it currently exists, could partner with community efforts to provide support and care for death, dying, loss and practical caring. Families and palliative care, dementia care or bereavement care services for examples, would not be alone in shouldering the responsibility for these kinds of care.</w:t>
      </w:r>
    </w:p>
    <w:p w14:paraId="59A75F84" w14:textId="1A546B8E" w:rsidR="003441F6" w:rsidRDefault="003441F6" w:rsidP="00B23F40">
      <w:pPr>
        <w:pStyle w:val="ListParagraph"/>
        <w:numPr>
          <w:ilvl w:val="0"/>
          <w:numId w:val="3"/>
        </w:numPr>
        <w:rPr>
          <w:b/>
          <w:bCs/>
        </w:rPr>
      </w:pPr>
      <w:r w:rsidRPr="003441F6">
        <w:rPr>
          <w:b/>
          <w:bCs/>
        </w:rPr>
        <w:lastRenderedPageBreak/>
        <w:t xml:space="preserve">A global model for the development and evaluation of CCC at </w:t>
      </w:r>
      <w:proofErr w:type="gramStart"/>
      <w:r w:rsidRPr="003441F6">
        <w:rPr>
          <w:b/>
          <w:bCs/>
        </w:rPr>
        <w:t>end of life</w:t>
      </w:r>
      <w:proofErr w:type="gramEnd"/>
      <w:r w:rsidRPr="003441F6">
        <w:rPr>
          <w:b/>
          <w:bCs/>
        </w:rPr>
        <w:t xml:space="preserve"> care seems to be necessary. Systemizing the processes will help emergent organizations or communities to develop Compassionate Communities and Cities and it will facilitate the assessment or its impact and effectiveness.</w:t>
      </w:r>
    </w:p>
    <w:p w14:paraId="2F319D2A" w14:textId="376F58A2" w:rsidR="00602DC1" w:rsidRPr="003441F6" w:rsidRDefault="00602DC1" w:rsidP="00B23F40">
      <w:pPr>
        <w:pStyle w:val="ListParagraph"/>
        <w:numPr>
          <w:ilvl w:val="0"/>
          <w:numId w:val="3"/>
        </w:numPr>
        <w:rPr>
          <w:b/>
          <w:bCs/>
        </w:rPr>
      </w:pPr>
      <w:r>
        <w:rPr>
          <w:b/>
          <w:bCs/>
        </w:rPr>
        <w:t xml:space="preserve">The introduction of a </w:t>
      </w:r>
      <w:r>
        <w:rPr>
          <w:b/>
          <w:bCs/>
          <w:i/>
          <w:iCs/>
        </w:rPr>
        <w:t xml:space="preserve">Compassionate City Charter </w:t>
      </w:r>
      <w:r>
        <w:rPr>
          <w:b/>
          <w:bCs/>
        </w:rPr>
        <w:t>may help to establish networks for those facing the need to access palliative care, and their families/carers.</w:t>
      </w:r>
    </w:p>
    <w:p w14:paraId="5F14A2D9" w14:textId="77777777" w:rsidR="003441F6" w:rsidRDefault="003441F6" w:rsidP="003441F6"/>
    <w:p w14:paraId="6E65F006" w14:textId="77777777" w:rsidR="003441F6" w:rsidRDefault="003441F6" w:rsidP="003441F6"/>
    <w:p w14:paraId="14D8277E" w14:textId="3230D2DA" w:rsidR="00653959" w:rsidRPr="00412F21" w:rsidRDefault="00412F21" w:rsidP="00412F21">
      <w:pPr>
        <w:pStyle w:val="Heading2"/>
        <w:rPr>
          <w:b/>
          <w:bCs/>
        </w:rPr>
      </w:pPr>
      <w:r w:rsidRPr="00412F21">
        <w:rPr>
          <w:b/>
          <w:bCs/>
        </w:rPr>
        <w:t xml:space="preserve">References: </w:t>
      </w:r>
    </w:p>
    <w:p w14:paraId="5E18F96A" w14:textId="77777777" w:rsidR="00412F21" w:rsidRDefault="00412F21"/>
    <w:p w14:paraId="5D44F425" w14:textId="77777777" w:rsidR="00602DC1" w:rsidRPr="00D75408" w:rsidRDefault="00653959" w:rsidP="00602DC1">
      <w:pPr>
        <w:pStyle w:val="EndNoteBibliography"/>
        <w:ind w:left="720" w:hanging="720"/>
        <w:rPr>
          <w:rFonts w:asciiTheme="minorHAnsi" w:hAnsiTheme="minorHAnsi" w:cstheme="minorHAnsi"/>
        </w:rPr>
      </w:pPr>
      <w:r w:rsidRPr="00D75408">
        <w:rPr>
          <w:rFonts w:asciiTheme="minorHAnsi" w:hAnsiTheme="minorHAnsi" w:cstheme="minorHAnsi"/>
        </w:rPr>
        <w:fldChar w:fldCharType="begin"/>
      </w:r>
      <w:r w:rsidRPr="00D75408">
        <w:rPr>
          <w:rFonts w:asciiTheme="minorHAnsi" w:hAnsiTheme="minorHAnsi" w:cstheme="minorHAnsi"/>
        </w:rPr>
        <w:instrText xml:space="preserve"> ADDIN EN.REFLIST </w:instrText>
      </w:r>
      <w:r w:rsidRPr="00D75408">
        <w:rPr>
          <w:rFonts w:asciiTheme="minorHAnsi" w:hAnsiTheme="minorHAnsi" w:cstheme="minorHAnsi"/>
        </w:rPr>
        <w:fldChar w:fldCharType="separate"/>
      </w:r>
      <w:r w:rsidR="00602DC1" w:rsidRPr="00D75408">
        <w:rPr>
          <w:rFonts w:asciiTheme="minorHAnsi" w:hAnsiTheme="minorHAnsi" w:cstheme="minorHAnsi"/>
        </w:rPr>
        <w:t xml:space="preserve">Aoun, S., Deas, K., Toye, C., Ewing, G., Grande, G., &amp; Stajduhar, K. (2015). Supporting family caregivers to identify their own needs in end-of-life care: Qualitative findings from a stepped wedge cluster trial. </w:t>
      </w:r>
      <w:r w:rsidR="00602DC1" w:rsidRPr="00D75408">
        <w:rPr>
          <w:rFonts w:asciiTheme="minorHAnsi" w:hAnsiTheme="minorHAnsi" w:cstheme="minorHAnsi"/>
          <w:i/>
        </w:rPr>
        <w:t>Palliative medicine, 29</w:t>
      </w:r>
      <w:r w:rsidR="00602DC1" w:rsidRPr="00D75408">
        <w:rPr>
          <w:rFonts w:asciiTheme="minorHAnsi" w:hAnsiTheme="minorHAnsi" w:cstheme="minorHAnsi"/>
        </w:rPr>
        <w:t xml:space="preserve">(6), 508-517. </w:t>
      </w:r>
    </w:p>
    <w:p w14:paraId="1CCBBAE2"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Bowers, S. P., Chin, M., O’Riordan, M., &amp; Carduff, E. (2022). The end of life experiences of people living with socio-economic deprivation in the developed world: an integrative review. </w:t>
      </w:r>
      <w:r w:rsidRPr="00D75408">
        <w:rPr>
          <w:rFonts w:asciiTheme="minorHAnsi" w:hAnsiTheme="minorHAnsi" w:cstheme="minorHAnsi"/>
          <w:i/>
        </w:rPr>
        <w:t>BMC Palliative Care, 21</w:t>
      </w:r>
      <w:r w:rsidRPr="00D75408">
        <w:rPr>
          <w:rFonts w:asciiTheme="minorHAnsi" w:hAnsiTheme="minorHAnsi" w:cstheme="minorHAnsi"/>
        </w:rPr>
        <w:t xml:space="preserve">(1), 193. </w:t>
      </w:r>
    </w:p>
    <w:p w14:paraId="1D698961"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Connolly, S., Galvin, M., &amp; Hardiman, O. (2015). End-of-life management in patients with amyotrophic lateral sclerosis. </w:t>
      </w:r>
      <w:r w:rsidRPr="00D75408">
        <w:rPr>
          <w:rFonts w:asciiTheme="minorHAnsi" w:hAnsiTheme="minorHAnsi" w:cstheme="minorHAnsi"/>
          <w:i/>
        </w:rPr>
        <w:t>The Lancet Neurology, 14</w:t>
      </w:r>
      <w:r w:rsidRPr="00D75408">
        <w:rPr>
          <w:rFonts w:asciiTheme="minorHAnsi" w:hAnsiTheme="minorHAnsi" w:cstheme="minorHAnsi"/>
        </w:rPr>
        <w:t xml:space="preserve">(4), 435-442. </w:t>
      </w:r>
    </w:p>
    <w:p w14:paraId="632BD225"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Crawley, L. M. (2005). Racial, cultural, and ethnic factors influencing end-of-life care. </w:t>
      </w:r>
      <w:r w:rsidRPr="00D75408">
        <w:rPr>
          <w:rFonts w:asciiTheme="minorHAnsi" w:hAnsiTheme="minorHAnsi" w:cstheme="minorHAnsi"/>
          <w:i/>
        </w:rPr>
        <w:t>Journal of palliative medicine, 8</w:t>
      </w:r>
      <w:r w:rsidRPr="00D75408">
        <w:rPr>
          <w:rFonts w:asciiTheme="minorHAnsi" w:hAnsiTheme="minorHAnsi" w:cstheme="minorHAnsi"/>
        </w:rPr>
        <w:t xml:space="preserve">(supplement 1), s-58-s-69. </w:t>
      </w:r>
    </w:p>
    <w:p w14:paraId="7BBA3E36"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Dixon, K. C., Ferris, R., Kuhn, I., Spathis, A., &amp; Barclay, S. (2021). Gypsy, Traveller and Roma experiences, views and needs in palliative and end of life care: A systematic literature review and narrative synthesis. </w:t>
      </w:r>
      <w:r w:rsidRPr="00D75408">
        <w:rPr>
          <w:rFonts w:asciiTheme="minorHAnsi" w:hAnsiTheme="minorHAnsi" w:cstheme="minorHAnsi"/>
          <w:i/>
        </w:rPr>
        <w:t>BMJ Supportive &amp; Palliative Care</w:t>
      </w:r>
      <w:r w:rsidRPr="00D75408">
        <w:rPr>
          <w:rFonts w:asciiTheme="minorHAnsi" w:hAnsiTheme="minorHAnsi" w:cstheme="minorHAnsi"/>
        </w:rPr>
        <w:t xml:space="preserve">. </w:t>
      </w:r>
    </w:p>
    <w:p w14:paraId="79D8D7B0"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Ee, C. (2021). End-Of-Life Care: Managing Mental Health. </w:t>
      </w:r>
    </w:p>
    <w:p w14:paraId="56096BCD"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French, M., Keegan, T., Anestis, E., &amp; Preston, N. (2021). Exploring socioeconomic inequities in access to palliative and end-of-life care in the UK: a narrative synthesis. </w:t>
      </w:r>
      <w:r w:rsidRPr="00D75408">
        <w:rPr>
          <w:rFonts w:asciiTheme="minorHAnsi" w:hAnsiTheme="minorHAnsi" w:cstheme="minorHAnsi"/>
          <w:i/>
        </w:rPr>
        <w:t>BMC Palliative Care, 20</w:t>
      </w:r>
      <w:r w:rsidRPr="00D75408">
        <w:rPr>
          <w:rFonts w:asciiTheme="minorHAnsi" w:hAnsiTheme="minorHAnsi" w:cstheme="minorHAnsi"/>
        </w:rPr>
        <w:t xml:space="preserve">, 1-20. </w:t>
      </w:r>
    </w:p>
    <w:p w14:paraId="4BD9AF3F"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Gómez-Vírseda, C., De Maeseneer, Y., &amp; Gastmans, C. (2020). Relational autonomy in end-of-life care ethics: a contextualized approach to real-life complexities. </w:t>
      </w:r>
      <w:r w:rsidRPr="00D75408">
        <w:rPr>
          <w:rFonts w:asciiTheme="minorHAnsi" w:hAnsiTheme="minorHAnsi" w:cstheme="minorHAnsi"/>
          <w:i/>
        </w:rPr>
        <w:t>BMC Medical Ethics, 21</w:t>
      </w:r>
      <w:r w:rsidRPr="00D75408">
        <w:rPr>
          <w:rFonts w:asciiTheme="minorHAnsi" w:hAnsiTheme="minorHAnsi" w:cstheme="minorHAnsi"/>
        </w:rPr>
        <w:t xml:space="preserve">, 1-14. </w:t>
      </w:r>
    </w:p>
    <w:p w14:paraId="7C3267F1"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Harrison, M. B., Morrissey, D. L., Dalrymple, W. A., D'Abreu, A., &amp; Daly, F. N. (2023). Primary Palliative Care in Huntington's Disease. </w:t>
      </w:r>
      <w:r w:rsidRPr="00D75408">
        <w:rPr>
          <w:rFonts w:asciiTheme="minorHAnsi" w:hAnsiTheme="minorHAnsi" w:cstheme="minorHAnsi"/>
          <w:i/>
        </w:rPr>
        <w:t>Movement Disorders Clinical Practice, 10</w:t>
      </w:r>
      <w:r w:rsidRPr="00D75408">
        <w:rPr>
          <w:rFonts w:asciiTheme="minorHAnsi" w:hAnsiTheme="minorHAnsi" w:cstheme="minorHAnsi"/>
        </w:rPr>
        <w:t xml:space="preserve">(1), 55-63. </w:t>
      </w:r>
    </w:p>
    <w:p w14:paraId="1CF44642"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Houska, A., &amp; Loučka, M. (2019). Patients' autonomy at the end of life: a critical review. </w:t>
      </w:r>
      <w:r w:rsidRPr="00D75408">
        <w:rPr>
          <w:rFonts w:asciiTheme="minorHAnsi" w:hAnsiTheme="minorHAnsi" w:cstheme="minorHAnsi"/>
          <w:i/>
        </w:rPr>
        <w:t>Journal of pain and symptom management, 57</w:t>
      </w:r>
      <w:r w:rsidRPr="00D75408">
        <w:rPr>
          <w:rFonts w:asciiTheme="minorHAnsi" w:hAnsiTheme="minorHAnsi" w:cstheme="minorHAnsi"/>
        </w:rPr>
        <w:t xml:space="preserve">(4), 835-845. </w:t>
      </w:r>
    </w:p>
    <w:p w14:paraId="18C2FD81"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Johnson, S. B., Butow, P. N., Kerridge, I., &amp; Tattersall, M. H. (2018). Patient autonomy and advance care planning: a qualitative study of oncologist and palliative care physicians’ perspectives. </w:t>
      </w:r>
      <w:r w:rsidRPr="00D75408">
        <w:rPr>
          <w:rFonts w:asciiTheme="minorHAnsi" w:hAnsiTheme="minorHAnsi" w:cstheme="minorHAnsi"/>
          <w:i/>
        </w:rPr>
        <w:t>Supportive Care in Cancer, 26</w:t>
      </w:r>
      <w:r w:rsidRPr="00D75408">
        <w:rPr>
          <w:rFonts w:asciiTheme="minorHAnsi" w:hAnsiTheme="minorHAnsi" w:cstheme="minorHAnsi"/>
        </w:rPr>
        <w:t xml:space="preserve">, 565-574. </w:t>
      </w:r>
    </w:p>
    <w:p w14:paraId="5F6F8C8B"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Kellehear, A. (2013). Compassionate communities: end-of-life care as everyone’s responsibility. </w:t>
      </w:r>
      <w:r w:rsidRPr="00D75408">
        <w:rPr>
          <w:rFonts w:asciiTheme="minorHAnsi" w:hAnsiTheme="minorHAnsi" w:cstheme="minorHAnsi"/>
          <w:i/>
        </w:rPr>
        <w:t>QJM: An International Journal of Medicine, 106</w:t>
      </w:r>
      <w:r w:rsidRPr="00D75408">
        <w:rPr>
          <w:rFonts w:asciiTheme="minorHAnsi" w:hAnsiTheme="minorHAnsi" w:cstheme="minorHAnsi"/>
        </w:rPr>
        <w:t xml:space="preserve">(12), 1071-1075. </w:t>
      </w:r>
    </w:p>
    <w:p w14:paraId="40CA948C"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Kellehear, A. (2015). The Compassionate City Charter: Inviting the cultural and social sectors into end of life care. In </w:t>
      </w:r>
      <w:r w:rsidRPr="00D75408">
        <w:rPr>
          <w:rFonts w:asciiTheme="minorHAnsi" w:hAnsiTheme="minorHAnsi" w:cstheme="minorHAnsi"/>
          <w:i/>
        </w:rPr>
        <w:t>Compassionate communities</w:t>
      </w:r>
      <w:r w:rsidRPr="00D75408">
        <w:rPr>
          <w:rFonts w:asciiTheme="minorHAnsi" w:hAnsiTheme="minorHAnsi" w:cstheme="minorHAnsi"/>
        </w:rPr>
        <w:t xml:space="preserve"> (pp. 76-87): Routledge.</w:t>
      </w:r>
    </w:p>
    <w:p w14:paraId="585284A5"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Lawrance, C. (2020). Death: a social disadvantage? How one hospice is addressing inequality at end of life. </w:t>
      </w:r>
      <w:r w:rsidRPr="00D75408">
        <w:rPr>
          <w:rFonts w:asciiTheme="minorHAnsi" w:hAnsiTheme="minorHAnsi" w:cstheme="minorHAnsi"/>
          <w:i/>
        </w:rPr>
        <w:t>Primary Health Care, 30</w:t>
      </w:r>
      <w:r w:rsidRPr="00D75408">
        <w:rPr>
          <w:rFonts w:asciiTheme="minorHAnsi" w:hAnsiTheme="minorHAnsi" w:cstheme="minorHAnsi"/>
        </w:rPr>
        <w:t xml:space="preserve">(1). </w:t>
      </w:r>
    </w:p>
    <w:p w14:paraId="42E6230F"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Librada-Flores, S., Nabal-Vicuña, M., Forero-Vega, D., Muñoz-Mayorga, I., &amp; Guerra-Martín, M. D. (2020). Implementation models of compassionate communities and </w:t>
      </w:r>
      <w:r w:rsidRPr="00D75408">
        <w:rPr>
          <w:rFonts w:asciiTheme="minorHAnsi" w:hAnsiTheme="minorHAnsi" w:cstheme="minorHAnsi"/>
        </w:rPr>
        <w:lastRenderedPageBreak/>
        <w:t xml:space="preserve">compassionate cities at the end of life: a systematic review. </w:t>
      </w:r>
      <w:r w:rsidRPr="00D75408">
        <w:rPr>
          <w:rFonts w:asciiTheme="minorHAnsi" w:hAnsiTheme="minorHAnsi" w:cstheme="minorHAnsi"/>
          <w:i/>
        </w:rPr>
        <w:t>International Journal of Environmental Research and Public Health, 17</w:t>
      </w:r>
      <w:r w:rsidRPr="00D75408">
        <w:rPr>
          <w:rFonts w:asciiTheme="minorHAnsi" w:hAnsiTheme="minorHAnsi" w:cstheme="minorHAnsi"/>
        </w:rPr>
        <w:t xml:space="preserve">(17), 6271. </w:t>
      </w:r>
    </w:p>
    <w:p w14:paraId="391D3531"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National Palliative and End of Life Care Partnership. (2021). </w:t>
      </w:r>
      <w:r w:rsidRPr="00D75408">
        <w:rPr>
          <w:rFonts w:asciiTheme="minorHAnsi" w:hAnsiTheme="minorHAnsi" w:cstheme="minorHAnsi"/>
          <w:i/>
        </w:rPr>
        <w:t>Ambitions for Palliative and End of Life care: A national framework for local action 2021–2026</w:t>
      </w:r>
      <w:r w:rsidRPr="00D75408">
        <w:rPr>
          <w:rFonts w:asciiTheme="minorHAnsi" w:hAnsiTheme="minorHAnsi" w:cstheme="minorHAnsi"/>
        </w:rPr>
        <w:t>. London</w:t>
      </w:r>
    </w:p>
    <w:p w14:paraId="702D00B4"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Seale, C. (2010). The role of doctors' religious faith and ethnicity in taking ethically controversial decisions during end-of-life care. </w:t>
      </w:r>
      <w:r w:rsidRPr="00D75408">
        <w:rPr>
          <w:rFonts w:asciiTheme="minorHAnsi" w:hAnsiTheme="minorHAnsi" w:cstheme="minorHAnsi"/>
          <w:i/>
        </w:rPr>
        <w:t>Journal of Medical Ethics, 36</w:t>
      </w:r>
      <w:r w:rsidRPr="00D75408">
        <w:rPr>
          <w:rFonts w:asciiTheme="minorHAnsi" w:hAnsiTheme="minorHAnsi" w:cstheme="minorHAnsi"/>
        </w:rPr>
        <w:t xml:space="preserve">(11), 677-682. </w:t>
      </w:r>
    </w:p>
    <w:p w14:paraId="44D6A97A"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Shulman, C., Hudson, B. F., Low, J., Hewett, N., Daley, J., Kennedy, P., . . . Vivat, B. (2018). End-of-life care for homeless people: a qualitative analysis exploring the challenges to access and provision of palliative care. </w:t>
      </w:r>
      <w:r w:rsidRPr="00D75408">
        <w:rPr>
          <w:rFonts w:asciiTheme="minorHAnsi" w:hAnsiTheme="minorHAnsi" w:cstheme="minorHAnsi"/>
          <w:i/>
        </w:rPr>
        <w:t>Palliative medicine, 32</w:t>
      </w:r>
      <w:r w:rsidRPr="00D75408">
        <w:rPr>
          <w:rFonts w:asciiTheme="minorHAnsi" w:hAnsiTheme="minorHAnsi" w:cstheme="minorHAnsi"/>
        </w:rPr>
        <w:t xml:space="preserve">(1), 36-45. </w:t>
      </w:r>
    </w:p>
    <w:p w14:paraId="63A90159"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Thuné-Boyle, I. C., Sampson, E. L., Jones, L., King, M., Lee, D. R., &amp; Blanchard, M. R. (2010). Challenges to improving end of life care of people with advanced dementia in the UK. </w:t>
      </w:r>
      <w:r w:rsidRPr="00D75408">
        <w:rPr>
          <w:rFonts w:asciiTheme="minorHAnsi" w:hAnsiTheme="minorHAnsi" w:cstheme="minorHAnsi"/>
          <w:i/>
        </w:rPr>
        <w:t>Dementia, 9</w:t>
      </w:r>
      <w:r w:rsidRPr="00D75408">
        <w:rPr>
          <w:rFonts w:asciiTheme="minorHAnsi" w:hAnsiTheme="minorHAnsi" w:cstheme="minorHAnsi"/>
        </w:rPr>
        <w:t xml:space="preserve">(2), 259-284. </w:t>
      </w:r>
    </w:p>
    <w:p w14:paraId="03FE14C9" w14:textId="77777777" w:rsidR="00602DC1" w:rsidRPr="00D75408" w:rsidRDefault="00602DC1" w:rsidP="00602DC1">
      <w:pPr>
        <w:pStyle w:val="EndNoteBibliography"/>
        <w:ind w:left="720" w:hanging="720"/>
        <w:rPr>
          <w:rFonts w:asciiTheme="minorHAnsi" w:hAnsiTheme="minorHAnsi" w:cstheme="minorHAnsi"/>
        </w:rPr>
      </w:pPr>
      <w:r w:rsidRPr="00D75408">
        <w:rPr>
          <w:rFonts w:asciiTheme="minorHAnsi" w:hAnsiTheme="minorHAnsi" w:cstheme="minorHAnsi"/>
        </w:rPr>
        <w:t xml:space="preserve">Wilson, R., Hepgul, N., Higginson, I. J., &amp; Gao, W. (2020). End-of-life care and place of death in adults with serious mental illness: A systematic review and narrative synthesis. </w:t>
      </w:r>
      <w:r w:rsidRPr="00D75408">
        <w:rPr>
          <w:rFonts w:asciiTheme="minorHAnsi" w:hAnsiTheme="minorHAnsi" w:cstheme="minorHAnsi"/>
          <w:i/>
        </w:rPr>
        <w:t>Palliative medicine, 34</w:t>
      </w:r>
      <w:r w:rsidRPr="00D75408">
        <w:rPr>
          <w:rFonts w:asciiTheme="minorHAnsi" w:hAnsiTheme="minorHAnsi" w:cstheme="minorHAnsi"/>
        </w:rPr>
        <w:t xml:space="preserve">(1), 49-68. </w:t>
      </w:r>
    </w:p>
    <w:p w14:paraId="648ED521" w14:textId="53B564D2" w:rsidR="00FE25D4" w:rsidRPr="00AD68E5" w:rsidRDefault="00653959">
      <w:pPr>
        <w:rPr>
          <w:rFonts w:asciiTheme="minorHAnsi" w:hAnsiTheme="minorHAnsi" w:cstheme="minorHAnsi"/>
        </w:rPr>
      </w:pPr>
      <w:r w:rsidRPr="00D75408">
        <w:rPr>
          <w:rFonts w:asciiTheme="minorHAnsi" w:hAnsiTheme="minorHAnsi" w:cstheme="minorHAnsi"/>
        </w:rPr>
        <w:fldChar w:fldCharType="end"/>
      </w:r>
    </w:p>
    <w:sectPr w:rsidR="00FE25D4" w:rsidRPr="00AD68E5" w:rsidSect="008052BA">
      <w:headerReference w:type="defaul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03AE67" w14:textId="77777777" w:rsidR="008052BA" w:rsidRDefault="008052BA" w:rsidP="006512D7">
      <w:r>
        <w:separator/>
      </w:r>
    </w:p>
  </w:endnote>
  <w:endnote w:type="continuationSeparator" w:id="0">
    <w:p w14:paraId="02D45E66" w14:textId="77777777" w:rsidR="008052BA" w:rsidRDefault="008052BA" w:rsidP="00651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9C8FA" w14:textId="77777777" w:rsidR="008052BA" w:rsidRDefault="008052BA" w:rsidP="006512D7">
      <w:r>
        <w:separator/>
      </w:r>
    </w:p>
  </w:footnote>
  <w:footnote w:type="continuationSeparator" w:id="0">
    <w:p w14:paraId="141D2028" w14:textId="77777777" w:rsidR="008052BA" w:rsidRDefault="008052BA" w:rsidP="00651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CBCBD" w14:textId="2E66156B" w:rsidR="006512D7" w:rsidRDefault="006512D7">
    <w:pPr>
      <w:pStyle w:val="Header"/>
    </w:pPr>
    <w:r>
      <w:rPr>
        <w:noProof/>
      </w:rPr>
      <w:drawing>
        <wp:anchor distT="0" distB="0" distL="114300" distR="114300" simplePos="0" relativeHeight="251659264" behindDoc="0" locked="0" layoutInCell="1" allowOverlap="1" wp14:anchorId="1D50751A" wp14:editId="35E2E8DB">
          <wp:simplePos x="0" y="0"/>
          <wp:positionH relativeFrom="margin">
            <wp:posOffset>-626110</wp:posOffset>
          </wp:positionH>
          <wp:positionV relativeFrom="paragraph">
            <wp:posOffset>-396875</wp:posOffset>
          </wp:positionV>
          <wp:extent cx="7150100" cy="819150"/>
          <wp:effectExtent l="0" t="0" r="0" b="0"/>
          <wp:wrapSquare wrapText="bothSides"/>
          <wp:docPr id="722364826" name="Picture 722364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45597" name="Picture 1671645597"/>
                  <pic:cNvPicPr/>
                </pic:nvPicPr>
                <pic:blipFill>
                  <a:blip r:embed="rId1">
                    <a:extLst>
                      <a:ext uri="{28A0092B-C50C-407E-A947-70E740481C1C}">
                        <a14:useLocalDpi xmlns:a14="http://schemas.microsoft.com/office/drawing/2010/main" val="0"/>
                      </a:ext>
                    </a:extLst>
                  </a:blip>
                  <a:stretch>
                    <a:fillRect/>
                  </a:stretch>
                </pic:blipFill>
                <pic:spPr>
                  <a:xfrm>
                    <a:off x="0" y="0"/>
                    <a:ext cx="7150100" cy="8191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757949"/>
    <w:multiLevelType w:val="hybridMultilevel"/>
    <w:tmpl w:val="88E64738"/>
    <w:lvl w:ilvl="0" w:tplc="2948220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752915"/>
    <w:multiLevelType w:val="hybridMultilevel"/>
    <w:tmpl w:val="7C006D9A"/>
    <w:lvl w:ilvl="0" w:tplc="10C477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6427E"/>
    <w:multiLevelType w:val="hybridMultilevel"/>
    <w:tmpl w:val="32DEE4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A012AC"/>
    <w:multiLevelType w:val="hybridMultilevel"/>
    <w:tmpl w:val="0652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4357520">
    <w:abstractNumId w:val="2"/>
  </w:num>
  <w:num w:numId="2" w16cid:durableId="1157693598">
    <w:abstractNumId w:val="1"/>
  </w:num>
  <w:num w:numId="3" w16cid:durableId="1343893155">
    <w:abstractNumId w:val="0"/>
  </w:num>
  <w:num w:numId="4" w16cid:durableId="4585758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USTOM)&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s9axatw70vf2ze9vdmxt0skppvsfd0tst5z&quot;&gt;Chapter One-Converted2&lt;record-ids&gt;&lt;item&gt;1493&lt;/item&gt;&lt;item&gt;1494&lt;/item&gt;&lt;item&gt;1495&lt;/item&gt;&lt;item&gt;1496&lt;/item&gt;&lt;item&gt;1497&lt;/item&gt;&lt;item&gt;1498&lt;/item&gt;&lt;item&gt;1499&lt;/item&gt;&lt;item&gt;1500&lt;/item&gt;&lt;item&gt;1501&lt;/item&gt;&lt;item&gt;1502&lt;/item&gt;&lt;item&gt;1503&lt;/item&gt;&lt;item&gt;1504&lt;/item&gt;&lt;item&gt;1505&lt;/item&gt;&lt;item&gt;1506&lt;/item&gt;&lt;item&gt;1507&lt;/item&gt;&lt;item&gt;1508&lt;/item&gt;&lt;item&gt;1509&lt;/item&gt;&lt;item&gt;1510&lt;/item&gt;&lt;item&gt;1511&lt;/item&gt;&lt;item&gt;1512&lt;/item&gt;&lt;/record-ids&gt;&lt;/item&gt;&lt;/Libraries&gt;"/>
  </w:docVars>
  <w:rsids>
    <w:rsidRoot w:val="00FE25D4"/>
    <w:rsid w:val="00001B16"/>
    <w:rsid w:val="00066BDF"/>
    <w:rsid w:val="00070F1A"/>
    <w:rsid w:val="000C561C"/>
    <w:rsid w:val="001066C1"/>
    <w:rsid w:val="001C43F5"/>
    <w:rsid w:val="001C64FF"/>
    <w:rsid w:val="001F63BE"/>
    <w:rsid w:val="00255F71"/>
    <w:rsid w:val="002B4ED8"/>
    <w:rsid w:val="003441F6"/>
    <w:rsid w:val="0038045B"/>
    <w:rsid w:val="003A2BCA"/>
    <w:rsid w:val="00412F21"/>
    <w:rsid w:val="005E7EF9"/>
    <w:rsid w:val="00602DC1"/>
    <w:rsid w:val="006249D6"/>
    <w:rsid w:val="006512D7"/>
    <w:rsid w:val="00653959"/>
    <w:rsid w:val="006F0BE6"/>
    <w:rsid w:val="00732571"/>
    <w:rsid w:val="00753C7F"/>
    <w:rsid w:val="0076313F"/>
    <w:rsid w:val="007B23C3"/>
    <w:rsid w:val="007B338E"/>
    <w:rsid w:val="007D0295"/>
    <w:rsid w:val="008052BA"/>
    <w:rsid w:val="00813AFC"/>
    <w:rsid w:val="0083630C"/>
    <w:rsid w:val="009236A1"/>
    <w:rsid w:val="00927E97"/>
    <w:rsid w:val="009520B5"/>
    <w:rsid w:val="0096469C"/>
    <w:rsid w:val="009D1348"/>
    <w:rsid w:val="00A04B1C"/>
    <w:rsid w:val="00A1146C"/>
    <w:rsid w:val="00A4025A"/>
    <w:rsid w:val="00AD68E5"/>
    <w:rsid w:val="00B33857"/>
    <w:rsid w:val="00B54839"/>
    <w:rsid w:val="00B8678C"/>
    <w:rsid w:val="00BA20DD"/>
    <w:rsid w:val="00BF2B2B"/>
    <w:rsid w:val="00C01A10"/>
    <w:rsid w:val="00C10F5E"/>
    <w:rsid w:val="00C37CF9"/>
    <w:rsid w:val="00C4568F"/>
    <w:rsid w:val="00CC5E6C"/>
    <w:rsid w:val="00D0782F"/>
    <w:rsid w:val="00D15A6A"/>
    <w:rsid w:val="00D640AB"/>
    <w:rsid w:val="00D75408"/>
    <w:rsid w:val="00D854CA"/>
    <w:rsid w:val="00DA0E01"/>
    <w:rsid w:val="00E120FB"/>
    <w:rsid w:val="00EE4FC1"/>
    <w:rsid w:val="00F6601B"/>
    <w:rsid w:val="00FE25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D859"/>
  <w15:docId w15:val="{0F63BDD8-BA2F-4B29-A96D-30AFBD5E2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6A1"/>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65395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next w:val="Normal"/>
    <w:link w:val="Heading2Char"/>
    <w:uiPriority w:val="9"/>
    <w:unhideWhenUsed/>
    <w:qFormat/>
    <w:rsid w:val="0065395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5395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E25D4"/>
    <w:pPr>
      <w:ind w:left="720"/>
      <w:contextualSpacing/>
    </w:pPr>
    <w:rPr>
      <w:rFonts w:asciiTheme="minorHAnsi" w:eastAsiaTheme="minorHAnsi" w:hAnsiTheme="minorHAnsi" w:cstheme="minorBidi"/>
      <w:lang w:eastAsia="en-US"/>
    </w:rPr>
  </w:style>
  <w:style w:type="character" w:styleId="Hyperlink">
    <w:name w:val="Hyperlink"/>
    <w:basedOn w:val="DefaultParagraphFont"/>
    <w:uiPriority w:val="99"/>
    <w:unhideWhenUsed/>
    <w:rsid w:val="00FE25D4"/>
    <w:rPr>
      <w:color w:val="0563C1" w:themeColor="hyperlink"/>
      <w:u w:val="single"/>
    </w:rPr>
  </w:style>
  <w:style w:type="character" w:styleId="UnresolvedMention">
    <w:name w:val="Unresolved Mention"/>
    <w:basedOn w:val="DefaultParagraphFont"/>
    <w:uiPriority w:val="99"/>
    <w:semiHidden/>
    <w:unhideWhenUsed/>
    <w:rsid w:val="00FE25D4"/>
    <w:rPr>
      <w:color w:val="605E5C"/>
      <w:shd w:val="clear" w:color="auto" w:fill="E1DFDD"/>
    </w:rPr>
  </w:style>
  <w:style w:type="paragraph" w:customStyle="1" w:styleId="p">
    <w:name w:val="p"/>
    <w:basedOn w:val="Normal"/>
    <w:rsid w:val="00FE25D4"/>
    <w:pPr>
      <w:spacing w:before="100" w:beforeAutospacing="1" w:after="100" w:afterAutospacing="1"/>
    </w:pPr>
  </w:style>
  <w:style w:type="paragraph" w:styleId="NormalWeb">
    <w:name w:val="Normal (Web)"/>
    <w:basedOn w:val="Normal"/>
    <w:uiPriority w:val="99"/>
    <w:unhideWhenUsed/>
    <w:rsid w:val="00FE25D4"/>
    <w:pPr>
      <w:spacing w:before="100" w:beforeAutospacing="1" w:after="100" w:afterAutospacing="1"/>
    </w:pPr>
  </w:style>
  <w:style w:type="character" w:customStyle="1" w:styleId="Heading1Char">
    <w:name w:val="Heading 1 Char"/>
    <w:basedOn w:val="DefaultParagraphFont"/>
    <w:link w:val="Heading1"/>
    <w:uiPriority w:val="9"/>
    <w:rsid w:val="00653959"/>
    <w:rPr>
      <w:rFonts w:asciiTheme="majorHAnsi" w:eastAsiaTheme="majorEastAsia" w:hAnsiTheme="majorHAnsi" w:cstheme="majorBidi"/>
      <w:color w:val="2F5496" w:themeColor="accent1" w:themeShade="BF"/>
      <w:sz w:val="32"/>
      <w:szCs w:val="32"/>
      <w:lang w:val="en-US"/>
    </w:rPr>
  </w:style>
  <w:style w:type="character" w:styleId="SubtleEmphasis">
    <w:name w:val="Subtle Emphasis"/>
    <w:basedOn w:val="DefaultParagraphFont"/>
    <w:uiPriority w:val="19"/>
    <w:qFormat/>
    <w:rsid w:val="00653959"/>
    <w:rPr>
      <w:i/>
      <w:iCs/>
      <w:color w:val="404040" w:themeColor="text1" w:themeTint="BF"/>
    </w:rPr>
  </w:style>
  <w:style w:type="character" w:customStyle="1" w:styleId="Heading2Char">
    <w:name w:val="Heading 2 Char"/>
    <w:basedOn w:val="DefaultParagraphFont"/>
    <w:link w:val="Heading2"/>
    <w:uiPriority w:val="9"/>
    <w:rsid w:val="00653959"/>
    <w:rPr>
      <w:rFonts w:asciiTheme="majorHAnsi" w:eastAsiaTheme="majorEastAsia" w:hAnsiTheme="majorHAnsi" w:cstheme="majorBidi"/>
      <w:color w:val="2F5496" w:themeColor="accent1" w:themeShade="BF"/>
      <w:sz w:val="26"/>
      <w:szCs w:val="26"/>
      <w:lang w:eastAsia="en-GB"/>
    </w:rPr>
  </w:style>
  <w:style w:type="character" w:customStyle="1" w:styleId="Heading3Char">
    <w:name w:val="Heading 3 Char"/>
    <w:basedOn w:val="DefaultParagraphFont"/>
    <w:link w:val="Heading3"/>
    <w:uiPriority w:val="9"/>
    <w:rsid w:val="00653959"/>
    <w:rPr>
      <w:rFonts w:asciiTheme="majorHAnsi" w:eastAsiaTheme="majorEastAsia" w:hAnsiTheme="majorHAnsi" w:cstheme="majorBidi"/>
      <w:color w:val="1F3763" w:themeColor="accent1" w:themeShade="7F"/>
      <w:lang w:eastAsia="en-GB"/>
    </w:rPr>
  </w:style>
  <w:style w:type="character" w:customStyle="1" w:styleId="ListParagraphChar">
    <w:name w:val="List Paragraph Char"/>
    <w:basedOn w:val="DefaultParagraphFont"/>
    <w:link w:val="ListParagraph"/>
    <w:uiPriority w:val="34"/>
    <w:rsid w:val="00653959"/>
  </w:style>
  <w:style w:type="paragraph" w:customStyle="1" w:styleId="EndNoteBibliographyTitle">
    <w:name w:val="EndNote Bibliography Title"/>
    <w:basedOn w:val="Normal"/>
    <w:link w:val="EndNoteBibliographyTitleChar"/>
    <w:rsid w:val="00653959"/>
    <w:pPr>
      <w:jc w:val="center"/>
    </w:pPr>
    <w:rPr>
      <w:noProof/>
    </w:rPr>
  </w:style>
  <w:style w:type="character" w:customStyle="1" w:styleId="EndNoteBibliographyTitleChar">
    <w:name w:val="EndNote Bibliography Title Char"/>
    <w:basedOn w:val="ListParagraphChar"/>
    <w:link w:val="EndNoteBibliographyTitle"/>
    <w:rsid w:val="00653959"/>
    <w:rPr>
      <w:rFonts w:ascii="Times New Roman" w:eastAsia="Times New Roman" w:hAnsi="Times New Roman" w:cs="Times New Roman"/>
      <w:noProof/>
      <w:lang w:eastAsia="en-GB"/>
    </w:rPr>
  </w:style>
  <w:style w:type="paragraph" w:customStyle="1" w:styleId="EndNoteBibliography">
    <w:name w:val="EndNote Bibliography"/>
    <w:basedOn w:val="Normal"/>
    <w:link w:val="EndNoteBibliographyChar"/>
    <w:rsid w:val="00653959"/>
    <w:rPr>
      <w:noProof/>
    </w:rPr>
  </w:style>
  <w:style w:type="character" w:customStyle="1" w:styleId="EndNoteBibliographyChar">
    <w:name w:val="EndNote Bibliography Char"/>
    <w:basedOn w:val="ListParagraphChar"/>
    <w:link w:val="EndNoteBibliography"/>
    <w:rsid w:val="00653959"/>
    <w:rPr>
      <w:rFonts w:ascii="Times New Roman" w:eastAsia="Times New Roman" w:hAnsi="Times New Roman" w:cs="Times New Roman"/>
      <w:noProof/>
      <w:lang w:eastAsia="en-GB"/>
    </w:rPr>
  </w:style>
  <w:style w:type="paragraph" w:styleId="Header">
    <w:name w:val="header"/>
    <w:basedOn w:val="Normal"/>
    <w:link w:val="HeaderChar"/>
    <w:uiPriority w:val="99"/>
    <w:unhideWhenUsed/>
    <w:rsid w:val="006512D7"/>
    <w:pPr>
      <w:tabs>
        <w:tab w:val="center" w:pos="4513"/>
        <w:tab w:val="right" w:pos="9026"/>
      </w:tabs>
    </w:pPr>
  </w:style>
  <w:style w:type="character" w:customStyle="1" w:styleId="HeaderChar">
    <w:name w:val="Header Char"/>
    <w:basedOn w:val="DefaultParagraphFont"/>
    <w:link w:val="Header"/>
    <w:uiPriority w:val="99"/>
    <w:rsid w:val="006512D7"/>
    <w:rPr>
      <w:rFonts w:ascii="Times New Roman" w:eastAsia="Times New Roman" w:hAnsi="Times New Roman" w:cs="Times New Roman"/>
      <w:lang w:eastAsia="en-GB"/>
    </w:rPr>
  </w:style>
  <w:style w:type="paragraph" w:styleId="Footer">
    <w:name w:val="footer"/>
    <w:basedOn w:val="Normal"/>
    <w:link w:val="FooterChar"/>
    <w:uiPriority w:val="99"/>
    <w:unhideWhenUsed/>
    <w:rsid w:val="006512D7"/>
    <w:pPr>
      <w:tabs>
        <w:tab w:val="center" w:pos="4513"/>
        <w:tab w:val="right" w:pos="9026"/>
      </w:tabs>
    </w:pPr>
  </w:style>
  <w:style w:type="character" w:customStyle="1" w:styleId="FooterChar">
    <w:name w:val="Footer Char"/>
    <w:basedOn w:val="DefaultParagraphFont"/>
    <w:link w:val="Footer"/>
    <w:uiPriority w:val="99"/>
    <w:rsid w:val="006512D7"/>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38336">
      <w:bodyDiv w:val="1"/>
      <w:marLeft w:val="0"/>
      <w:marRight w:val="0"/>
      <w:marTop w:val="0"/>
      <w:marBottom w:val="0"/>
      <w:divBdr>
        <w:top w:val="none" w:sz="0" w:space="0" w:color="auto"/>
        <w:left w:val="none" w:sz="0" w:space="0" w:color="auto"/>
        <w:bottom w:val="none" w:sz="0" w:space="0" w:color="auto"/>
        <w:right w:val="none" w:sz="0" w:space="0" w:color="auto"/>
      </w:divBdr>
    </w:div>
    <w:div w:id="59719506">
      <w:bodyDiv w:val="1"/>
      <w:marLeft w:val="0"/>
      <w:marRight w:val="0"/>
      <w:marTop w:val="0"/>
      <w:marBottom w:val="0"/>
      <w:divBdr>
        <w:top w:val="none" w:sz="0" w:space="0" w:color="auto"/>
        <w:left w:val="none" w:sz="0" w:space="0" w:color="auto"/>
        <w:bottom w:val="none" w:sz="0" w:space="0" w:color="auto"/>
        <w:right w:val="none" w:sz="0" w:space="0" w:color="auto"/>
      </w:divBdr>
    </w:div>
    <w:div w:id="161314561">
      <w:bodyDiv w:val="1"/>
      <w:marLeft w:val="0"/>
      <w:marRight w:val="0"/>
      <w:marTop w:val="0"/>
      <w:marBottom w:val="0"/>
      <w:divBdr>
        <w:top w:val="none" w:sz="0" w:space="0" w:color="auto"/>
        <w:left w:val="none" w:sz="0" w:space="0" w:color="auto"/>
        <w:bottom w:val="none" w:sz="0" w:space="0" w:color="auto"/>
        <w:right w:val="none" w:sz="0" w:space="0" w:color="auto"/>
      </w:divBdr>
    </w:div>
    <w:div w:id="235827683">
      <w:bodyDiv w:val="1"/>
      <w:marLeft w:val="0"/>
      <w:marRight w:val="0"/>
      <w:marTop w:val="0"/>
      <w:marBottom w:val="0"/>
      <w:divBdr>
        <w:top w:val="none" w:sz="0" w:space="0" w:color="auto"/>
        <w:left w:val="none" w:sz="0" w:space="0" w:color="auto"/>
        <w:bottom w:val="none" w:sz="0" w:space="0" w:color="auto"/>
        <w:right w:val="none" w:sz="0" w:space="0" w:color="auto"/>
      </w:divBdr>
    </w:div>
    <w:div w:id="252250668">
      <w:bodyDiv w:val="1"/>
      <w:marLeft w:val="0"/>
      <w:marRight w:val="0"/>
      <w:marTop w:val="0"/>
      <w:marBottom w:val="0"/>
      <w:divBdr>
        <w:top w:val="none" w:sz="0" w:space="0" w:color="auto"/>
        <w:left w:val="none" w:sz="0" w:space="0" w:color="auto"/>
        <w:bottom w:val="none" w:sz="0" w:space="0" w:color="auto"/>
        <w:right w:val="none" w:sz="0" w:space="0" w:color="auto"/>
      </w:divBdr>
    </w:div>
    <w:div w:id="350648829">
      <w:bodyDiv w:val="1"/>
      <w:marLeft w:val="0"/>
      <w:marRight w:val="0"/>
      <w:marTop w:val="0"/>
      <w:marBottom w:val="0"/>
      <w:divBdr>
        <w:top w:val="none" w:sz="0" w:space="0" w:color="auto"/>
        <w:left w:val="none" w:sz="0" w:space="0" w:color="auto"/>
        <w:bottom w:val="none" w:sz="0" w:space="0" w:color="auto"/>
        <w:right w:val="none" w:sz="0" w:space="0" w:color="auto"/>
      </w:divBdr>
      <w:divsChild>
        <w:div w:id="1014455480">
          <w:marLeft w:val="0"/>
          <w:marRight w:val="0"/>
          <w:marTop w:val="400"/>
          <w:marBottom w:val="400"/>
          <w:divBdr>
            <w:top w:val="none" w:sz="0" w:space="0" w:color="auto"/>
            <w:left w:val="none" w:sz="0" w:space="0" w:color="auto"/>
            <w:bottom w:val="none" w:sz="0" w:space="0" w:color="auto"/>
            <w:right w:val="none" w:sz="0" w:space="0" w:color="auto"/>
          </w:divBdr>
        </w:div>
        <w:div w:id="1405176942">
          <w:marLeft w:val="0"/>
          <w:marRight w:val="0"/>
          <w:marTop w:val="400"/>
          <w:marBottom w:val="400"/>
          <w:divBdr>
            <w:top w:val="none" w:sz="0" w:space="0" w:color="auto"/>
            <w:left w:val="none" w:sz="0" w:space="0" w:color="auto"/>
            <w:bottom w:val="none" w:sz="0" w:space="0" w:color="auto"/>
            <w:right w:val="none" w:sz="0" w:space="0" w:color="auto"/>
          </w:divBdr>
        </w:div>
      </w:divsChild>
    </w:div>
    <w:div w:id="372120867">
      <w:bodyDiv w:val="1"/>
      <w:marLeft w:val="0"/>
      <w:marRight w:val="0"/>
      <w:marTop w:val="0"/>
      <w:marBottom w:val="0"/>
      <w:divBdr>
        <w:top w:val="none" w:sz="0" w:space="0" w:color="auto"/>
        <w:left w:val="none" w:sz="0" w:space="0" w:color="auto"/>
        <w:bottom w:val="none" w:sz="0" w:space="0" w:color="auto"/>
        <w:right w:val="none" w:sz="0" w:space="0" w:color="auto"/>
      </w:divBdr>
    </w:div>
    <w:div w:id="382601145">
      <w:bodyDiv w:val="1"/>
      <w:marLeft w:val="0"/>
      <w:marRight w:val="0"/>
      <w:marTop w:val="0"/>
      <w:marBottom w:val="0"/>
      <w:divBdr>
        <w:top w:val="none" w:sz="0" w:space="0" w:color="auto"/>
        <w:left w:val="none" w:sz="0" w:space="0" w:color="auto"/>
        <w:bottom w:val="none" w:sz="0" w:space="0" w:color="auto"/>
        <w:right w:val="none" w:sz="0" w:space="0" w:color="auto"/>
      </w:divBdr>
    </w:div>
    <w:div w:id="401879172">
      <w:bodyDiv w:val="1"/>
      <w:marLeft w:val="0"/>
      <w:marRight w:val="0"/>
      <w:marTop w:val="0"/>
      <w:marBottom w:val="0"/>
      <w:divBdr>
        <w:top w:val="none" w:sz="0" w:space="0" w:color="auto"/>
        <w:left w:val="none" w:sz="0" w:space="0" w:color="auto"/>
        <w:bottom w:val="none" w:sz="0" w:space="0" w:color="auto"/>
        <w:right w:val="none" w:sz="0" w:space="0" w:color="auto"/>
      </w:divBdr>
    </w:div>
    <w:div w:id="446775396">
      <w:bodyDiv w:val="1"/>
      <w:marLeft w:val="0"/>
      <w:marRight w:val="0"/>
      <w:marTop w:val="0"/>
      <w:marBottom w:val="0"/>
      <w:divBdr>
        <w:top w:val="none" w:sz="0" w:space="0" w:color="auto"/>
        <w:left w:val="none" w:sz="0" w:space="0" w:color="auto"/>
        <w:bottom w:val="none" w:sz="0" w:space="0" w:color="auto"/>
        <w:right w:val="none" w:sz="0" w:space="0" w:color="auto"/>
      </w:divBdr>
    </w:div>
    <w:div w:id="495339217">
      <w:bodyDiv w:val="1"/>
      <w:marLeft w:val="0"/>
      <w:marRight w:val="0"/>
      <w:marTop w:val="0"/>
      <w:marBottom w:val="0"/>
      <w:divBdr>
        <w:top w:val="none" w:sz="0" w:space="0" w:color="auto"/>
        <w:left w:val="none" w:sz="0" w:space="0" w:color="auto"/>
        <w:bottom w:val="none" w:sz="0" w:space="0" w:color="auto"/>
        <w:right w:val="none" w:sz="0" w:space="0" w:color="auto"/>
      </w:divBdr>
    </w:div>
    <w:div w:id="551383067">
      <w:bodyDiv w:val="1"/>
      <w:marLeft w:val="0"/>
      <w:marRight w:val="0"/>
      <w:marTop w:val="0"/>
      <w:marBottom w:val="0"/>
      <w:divBdr>
        <w:top w:val="none" w:sz="0" w:space="0" w:color="auto"/>
        <w:left w:val="none" w:sz="0" w:space="0" w:color="auto"/>
        <w:bottom w:val="none" w:sz="0" w:space="0" w:color="auto"/>
        <w:right w:val="none" w:sz="0" w:space="0" w:color="auto"/>
      </w:divBdr>
    </w:div>
    <w:div w:id="552890497">
      <w:bodyDiv w:val="1"/>
      <w:marLeft w:val="0"/>
      <w:marRight w:val="0"/>
      <w:marTop w:val="0"/>
      <w:marBottom w:val="0"/>
      <w:divBdr>
        <w:top w:val="none" w:sz="0" w:space="0" w:color="auto"/>
        <w:left w:val="none" w:sz="0" w:space="0" w:color="auto"/>
        <w:bottom w:val="none" w:sz="0" w:space="0" w:color="auto"/>
        <w:right w:val="none" w:sz="0" w:space="0" w:color="auto"/>
      </w:divBdr>
    </w:div>
    <w:div w:id="571545898">
      <w:bodyDiv w:val="1"/>
      <w:marLeft w:val="0"/>
      <w:marRight w:val="0"/>
      <w:marTop w:val="0"/>
      <w:marBottom w:val="0"/>
      <w:divBdr>
        <w:top w:val="none" w:sz="0" w:space="0" w:color="auto"/>
        <w:left w:val="none" w:sz="0" w:space="0" w:color="auto"/>
        <w:bottom w:val="none" w:sz="0" w:space="0" w:color="auto"/>
        <w:right w:val="none" w:sz="0" w:space="0" w:color="auto"/>
      </w:divBdr>
    </w:div>
    <w:div w:id="578249624">
      <w:bodyDiv w:val="1"/>
      <w:marLeft w:val="0"/>
      <w:marRight w:val="0"/>
      <w:marTop w:val="0"/>
      <w:marBottom w:val="0"/>
      <w:divBdr>
        <w:top w:val="none" w:sz="0" w:space="0" w:color="auto"/>
        <w:left w:val="none" w:sz="0" w:space="0" w:color="auto"/>
        <w:bottom w:val="none" w:sz="0" w:space="0" w:color="auto"/>
        <w:right w:val="none" w:sz="0" w:space="0" w:color="auto"/>
      </w:divBdr>
    </w:div>
    <w:div w:id="611281335">
      <w:bodyDiv w:val="1"/>
      <w:marLeft w:val="0"/>
      <w:marRight w:val="0"/>
      <w:marTop w:val="0"/>
      <w:marBottom w:val="0"/>
      <w:divBdr>
        <w:top w:val="none" w:sz="0" w:space="0" w:color="auto"/>
        <w:left w:val="none" w:sz="0" w:space="0" w:color="auto"/>
        <w:bottom w:val="none" w:sz="0" w:space="0" w:color="auto"/>
        <w:right w:val="none" w:sz="0" w:space="0" w:color="auto"/>
      </w:divBdr>
      <w:divsChild>
        <w:div w:id="246501232">
          <w:marLeft w:val="0"/>
          <w:marRight w:val="0"/>
          <w:marTop w:val="120"/>
          <w:marBottom w:val="0"/>
          <w:divBdr>
            <w:top w:val="none" w:sz="0" w:space="0" w:color="auto"/>
            <w:left w:val="none" w:sz="0" w:space="0" w:color="auto"/>
            <w:bottom w:val="none" w:sz="0" w:space="0" w:color="auto"/>
            <w:right w:val="none" w:sz="0" w:space="0" w:color="auto"/>
          </w:divBdr>
        </w:div>
      </w:divsChild>
    </w:div>
    <w:div w:id="620890376">
      <w:bodyDiv w:val="1"/>
      <w:marLeft w:val="0"/>
      <w:marRight w:val="0"/>
      <w:marTop w:val="0"/>
      <w:marBottom w:val="0"/>
      <w:divBdr>
        <w:top w:val="none" w:sz="0" w:space="0" w:color="auto"/>
        <w:left w:val="none" w:sz="0" w:space="0" w:color="auto"/>
        <w:bottom w:val="none" w:sz="0" w:space="0" w:color="auto"/>
        <w:right w:val="none" w:sz="0" w:space="0" w:color="auto"/>
      </w:divBdr>
    </w:div>
    <w:div w:id="633948429">
      <w:bodyDiv w:val="1"/>
      <w:marLeft w:val="0"/>
      <w:marRight w:val="0"/>
      <w:marTop w:val="0"/>
      <w:marBottom w:val="0"/>
      <w:divBdr>
        <w:top w:val="none" w:sz="0" w:space="0" w:color="auto"/>
        <w:left w:val="none" w:sz="0" w:space="0" w:color="auto"/>
        <w:bottom w:val="none" w:sz="0" w:space="0" w:color="auto"/>
        <w:right w:val="none" w:sz="0" w:space="0" w:color="auto"/>
      </w:divBdr>
    </w:div>
    <w:div w:id="698822978">
      <w:bodyDiv w:val="1"/>
      <w:marLeft w:val="0"/>
      <w:marRight w:val="0"/>
      <w:marTop w:val="0"/>
      <w:marBottom w:val="0"/>
      <w:divBdr>
        <w:top w:val="none" w:sz="0" w:space="0" w:color="auto"/>
        <w:left w:val="none" w:sz="0" w:space="0" w:color="auto"/>
        <w:bottom w:val="none" w:sz="0" w:space="0" w:color="auto"/>
        <w:right w:val="none" w:sz="0" w:space="0" w:color="auto"/>
      </w:divBdr>
    </w:div>
    <w:div w:id="752245847">
      <w:bodyDiv w:val="1"/>
      <w:marLeft w:val="0"/>
      <w:marRight w:val="0"/>
      <w:marTop w:val="0"/>
      <w:marBottom w:val="0"/>
      <w:divBdr>
        <w:top w:val="none" w:sz="0" w:space="0" w:color="auto"/>
        <w:left w:val="none" w:sz="0" w:space="0" w:color="auto"/>
        <w:bottom w:val="none" w:sz="0" w:space="0" w:color="auto"/>
        <w:right w:val="none" w:sz="0" w:space="0" w:color="auto"/>
      </w:divBdr>
    </w:div>
    <w:div w:id="777219583">
      <w:bodyDiv w:val="1"/>
      <w:marLeft w:val="0"/>
      <w:marRight w:val="0"/>
      <w:marTop w:val="0"/>
      <w:marBottom w:val="0"/>
      <w:divBdr>
        <w:top w:val="none" w:sz="0" w:space="0" w:color="auto"/>
        <w:left w:val="none" w:sz="0" w:space="0" w:color="auto"/>
        <w:bottom w:val="none" w:sz="0" w:space="0" w:color="auto"/>
        <w:right w:val="none" w:sz="0" w:space="0" w:color="auto"/>
      </w:divBdr>
    </w:div>
    <w:div w:id="805005562">
      <w:bodyDiv w:val="1"/>
      <w:marLeft w:val="0"/>
      <w:marRight w:val="0"/>
      <w:marTop w:val="0"/>
      <w:marBottom w:val="0"/>
      <w:divBdr>
        <w:top w:val="none" w:sz="0" w:space="0" w:color="auto"/>
        <w:left w:val="none" w:sz="0" w:space="0" w:color="auto"/>
        <w:bottom w:val="none" w:sz="0" w:space="0" w:color="auto"/>
        <w:right w:val="none" w:sz="0" w:space="0" w:color="auto"/>
      </w:divBdr>
    </w:div>
    <w:div w:id="873469024">
      <w:bodyDiv w:val="1"/>
      <w:marLeft w:val="0"/>
      <w:marRight w:val="0"/>
      <w:marTop w:val="0"/>
      <w:marBottom w:val="0"/>
      <w:divBdr>
        <w:top w:val="none" w:sz="0" w:space="0" w:color="auto"/>
        <w:left w:val="none" w:sz="0" w:space="0" w:color="auto"/>
        <w:bottom w:val="none" w:sz="0" w:space="0" w:color="auto"/>
        <w:right w:val="none" w:sz="0" w:space="0" w:color="auto"/>
      </w:divBdr>
    </w:div>
    <w:div w:id="957838088">
      <w:bodyDiv w:val="1"/>
      <w:marLeft w:val="0"/>
      <w:marRight w:val="0"/>
      <w:marTop w:val="0"/>
      <w:marBottom w:val="0"/>
      <w:divBdr>
        <w:top w:val="none" w:sz="0" w:space="0" w:color="auto"/>
        <w:left w:val="none" w:sz="0" w:space="0" w:color="auto"/>
        <w:bottom w:val="none" w:sz="0" w:space="0" w:color="auto"/>
        <w:right w:val="none" w:sz="0" w:space="0" w:color="auto"/>
      </w:divBdr>
    </w:div>
    <w:div w:id="992174661">
      <w:bodyDiv w:val="1"/>
      <w:marLeft w:val="0"/>
      <w:marRight w:val="0"/>
      <w:marTop w:val="0"/>
      <w:marBottom w:val="0"/>
      <w:divBdr>
        <w:top w:val="none" w:sz="0" w:space="0" w:color="auto"/>
        <w:left w:val="none" w:sz="0" w:space="0" w:color="auto"/>
        <w:bottom w:val="none" w:sz="0" w:space="0" w:color="auto"/>
        <w:right w:val="none" w:sz="0" w:space="0" w:color="auto"/>
      </w:divBdr>
    </w:div>
    <w:div w:id="1049765313">
      <w:bodyDiv w:val="1"/>
      <w:marLeft w:val="0"/>
      <w:marRight w:val="0"/>
      <w:marTop w:val="0"/>
      <w:marBottom w:val="0"/>
      <w:divBdr>
        <w:top w:val="none" w:sz="0" w:space="0" w:color="auto"/>
        <w:left w:val="none" w:sz="0" w:space="0" w:color="auto"/>
        <w:bottom w:val="none" w:sz="0" w:space="0" w:color="auto"/>
        <w:right w:val="none" w:sz="0" w:space="0" w:color="auto"/>
      </w:divBdr>
    </w:div>
    <w:div w:id="1087070994">
      <w:bodyDiv w:val="1"/>
      <w:marLeft w:val="0"/>
      <w:marRight w:val="0"/>
      <w:marTop w:val="0"/>
      <w:marBottom w:val="0"/>
      <w:divBdr>
        <w:top w:val="none" w:sz="0" w:space="0" w:color="auto"/>
        <w:left w:val="none" w:sz="0" w:space="0" w:color="auto"/>
        <w:bottom w:val="none" w:sz="0" w:space="0" w:color="auto"/>
        <w:right w:val="none" w:sz="0" w:space="0" w:color="auto"/>
      </w:divBdr>
    </w:div>
    <w:div w:id="1088577166">
      <w:bodyDiv w:val="1"/>
      <w:marLeft w:val="0"/>
      <w:marRight w:val="0"/>
      <w:marTop w:val="0"/>
      <w:marBottom w:val="0"/>
      <w:divBdr>
        <w:top w:val="none" w:sz="0" w:space="0" w:color="auto"/>
        <w:left w:val="none" w:sz="0" w:space="0" w:color="auto"/>
        <w:bottom w:val="none" w:sz="0" w:space="0" w:color="auto"/>
        <w:right w:val="none" w:sz="0" w:space="0" w:color="auto"/>
      </w:divBdr>
    </w:div>
    <w:div w:id="1103190866">
      <w:bodyDiv w:val="1"/>
      <w:marLeft w:val="0"/>
      <w:marRight w:val="0"/>
      <w:marTop w:val="0"/>
      <w:marBottom w:val="0"/>
      <w:divBdr>
        <w:top w:val="none" w:sz="0" w:space="0" w:color="auto"/>
        <w:left w:val="none" w:sz="0" w:space="0" w:color="auto"/>
        <w:bottom w:val="none" w:sz="0" w:space="0" w:color="auto"/>
        <w:right w:val="none" w:sz="0" w:space="0" w:color="auto"/>
      </w:divBdr>
    </w:div>
    <w:div w:id="1135028569">
      <w:bodyDiv w:val="1"/>
      <w:marLeft w:val="0"/>
      <w:marRight w:val="0"/>
      <w:marTop w:val="0"/>
      <w:marBottom w:val="0"/>
      <w:divBdr>
        <w:top w:val="none" w:sz="0" w:space="0" w:color="auto"/>
        <w:left w:val="none" w:sz="0" w:space="0" w:color="auto"/>
        <w:bottom w:val="none" w:sz="0" w:space="0" w:color="auto"/>
        <w:right w:val="none" w:sz="0" w:space="0" w:color="auto"/>
      </w:divBdr>
    </w:div>
    <w:div w:id="1135294452">
      <w:bodyDiv w:val="1"/>
      <w:marLeft w:val="0"/>
      <w:marRight w:val="0"/>
      <w:marTop w:val="0"/>
      <w:marBottom w:val="0"/>
      <w:divBdr>
        <w:top w:val="none" w:sz="0" w:space="0" w:color="auto"/>
        <w:left w:val="none" w:sz="0" w:space="0" w:color="auto"/>
        <w:bottom w:val="none" w:sz="0" w:space="0" w:color="auto"/>
        <w:right w:val="none" w:sz="0" w:space="0" w:color="auto"/>
      </w:divBdr>
    </w:div>
    <w:div w:id="1154755096">
      <w:bodyDiv w:val="1"/>
      <w:marLeft w:val="0"/>
      <w:marRight w:val="0"/>
      <w:marTop w:val="0"/>
      <w:marBottom w:val="0"/>
      <w:divBdr>
        <w:top w:val="none" w:sz="0" w:space="0" w:color="auto"/>
        <w:left w:val="none" w:sz="0" w:space="0" w:color="auto"/>
        <w:bottom w:val="none" w:sz="0" w:space="0" w:color="auto"/>
        <w:right w:val="none" w:sz="0" w:space="0" w:color="auto"/>
      </w:divBdr>
    </w:div>
    <w:div w:id="1170484755">
      <w:bodyDiv w:val="1"/>
      <w:marLeft w:val="0"/>
      <w:marRight w:val="0"/>
      <w:marTop w:val="0"/>
      <w:marBottom w:val="0"/>
      <w:divBdr>
        <w:top w:val="none" w:sz="0" w:space="0" w:color="auto"/>
        <w:left w:val="none" w:sz="0" w:space="0" w:color="auto"/>
        <w:bottom w:val="none" w:sz="0" w:space="0" w:color="auto"/>
        <w:right w:val="none" w:sz="0" w:space="0" w:color="auto"/>
      </w:divBdr>
    </w:div>
    <w:div w:id="1260144438">
      <w:bodyDiv w:val="1"/>
      <w:marLeft w:val="0"/>
      <w:marRight w:val="0"/>
      <w:marTop w:val="0"/>
      <w:marBottom w:val="0"/>
      <w:divBdr>
        <w:top w:val="none" w:sz="0" w:space="0" w:color="auto"/>
        <w:left w:val="none" w:sz="0" w:space="0" w:color="auto"/>
        <w:bottom w:val="none" w:sz="0" w:space="0" w:color="auto"/>
        <w:right w:val="none" w:sz="0" w:space="0" w:color="auto"/>
      </w:divBdr>
    </w:div>
    <w:div w:id="1261795120">
      <w:bodyDiv w:val="1"/>
      <w:marLeft w:val="0"/>
      <w:marRight w:val="0"/>
      <w:marTop w:val="0"/>
      <w:marBottom w:val="0"/>
      <w:divBdr>
        <w:top w:val="none" w:sz="0" w:space="0" w:color="auto"/>
        <w:left w:val="none" w:sz="0" w:space="0" w:color="auto"/>
        <w:bottom w:val="none" w:sz="0" w:space="0" w:color="auto"/>
        <w:right w:val="none" w:sz="0" w:space="0" w:color="auto"/>
      </w:divBdr>
    </w:div>
    <w:div w:id="1341587545">
      <w:bodyDiv w:val="1"/>
      <w:marLeft w:val="0"/>
      <w:marRight w:val="0"/>
      <w:marTop w:val="0"/>
      <w:marBottom w:val="0"/>
      <w:divBdr>
        <w:top w:val="none" w:sz="0" w:space="0" w:color="auto"/>
        <w:left w:val="none" w:sz="0" w:space="0" w:color="auto"/>
        <w:bottom w:val="none" w:sz="0" w:space="0" w:color="auto"/>
        <w:right w:val="none" w:sz="0" w:space="0" w:color="auto"/>
      </w:divBdr>
      <w:divsChild>
        <w:div w:id="631250908">
          <w:marLeft w:val="0"/>
          <w:marRight w:val="0"/>
          <w:marTop w:val="360"/>
          <w:marBottom w:val="360"/>
          <w:divBdr>
            <w:top w:val="single" w:sz="6" w:space="6" w:color="D5D5D5"/>
            <w:left w:val="none" w:sz="0" w:space="0" w:color="auto"/>
            <w:bottom w:val="single" w:sz="6" w:space="6" w:color="D5D5D5"/>
            <w:right w:val="none" w:sz="0" w:space="0" w:color="auto"/>
          </w:divBdr>
        </w:div>
        <w:div w:id="899679810">
          <w:marLeft w:val="0"/>
          <w:marRight w:val="0"/>
          <w:marTop w:val="0"/>
          <w:marBottom w:val="0"/>
          <w:divBdr>
            <w:top w:val="none" w:sz="0" w:space="0" w:color="auto"/>
            <w:left w:val="none" w:sz="0" w:space="0" w:color="auto"/>
            <w:bottom w:val="none" w:sz="0" w:space="0" w:color="auto"/>
            <w:right w:val="none" w:sz="0" w:space="0" w:color="auto"/>
          </w:divBdr>
          <w:divsChild>
            <w:div w:id="202535584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382707013">
      <w:bodyDiv w:val="1"/>
      <w:marLeft w:val="0"/>
      <w:marRight w:val="0"/>
      <w:marTop w:val="0"/>
      <w:marBottom w:val="0"/>
      <w:divBdr>
        <w:top w:val="none" w:sz="0" w:space="0" w:color="auto"/>
        <w:left w:val="none" w:sz="0" w:space="0" w:color="auto"/>
        <w:bottom w:val="none" w:sz="0" w:space="0" w:color="auto"/>
        <w:right w:val="none" w:sz="0" w:space="0" w:color="auto"/>
      </w:divBdr>
    </w:div>
    <w:div w:id="1390761678">
      <w:bodyDiv w:val="1"/>
      <w:marLeft w:val="0"/>
      <w:marRight w:val="0"/>
      <w:marTop w:val="0"/>
      <w:marBottom w:val="0"/>
      <w:divBdr>
        <w:top w:val="none" w:sz="0" w:space="0" w:color="auto"/>
        <w:left w:val="none" w:sz="0" w:space="0" w:color="auto"/>
        <w:bottom w:val="none" w:sz="0" w:space="0" w:color="auto"/>
        <w:right w:val="none" w:sz="0" w:space="0" w:color="auto"/>
      </w:divBdr>
    </w:div>
    <w:div w:id="1400470801">
      <w:bodyDiv w:val="1"/>
      <w:marLeft w:val="0"/>
      <w:marRight w:val="0"/>
      <w:marTop w:val="0"/>
      <w:marBottom w:val="0"/>
      <w:divBdr>
        <w:top w:val="none" w:sz="0" w:space="0" w:color="auto"/>
        <w:left w:val="none" w:sz="0" w:space="0" w:color="auto"/>
        <w:bottom w:val="none" w:sz="0" w:space="0" w:color="auto"/>
        <w:right w:val="none" w:sz="0" w:space="0" w:color="auto"/>
      </w:divBdr>
    </w:div>
    <w:div w:id="1408847452">
      <w:bodyDiv w:val="1"/>
      <w:marLeft w:val="0"/>
      <w:marRight w:val="0"/>
      <w:marTop w:val="0"/>
      <w:marBottom w:val="0"/>
      <w:divBdr>
        <w:top w:val="none" w:sz="0" w:space="0" w:color="auto"/>
        <w:left w:val="none" w:sz="0" w:space="0" w:color="auto"/>
        <w:bottom w:val="none" w:sz="0" w:space="0" w:color="auto"/>
        <w:right w:val="none" w:sz="0" w:space="0" w:color="auto"/>
      </w:divBdr>
    </w:div>
    <w:div w:id="1462110198">
      <w:bodyDiv w:val="1"/>
      <w:marLeft w:val="0"/>
      <w:marRight w:val="0"/>
      <w:marTop w:val="0"/>
      <w:marBottom w:val="0"/>
      <w:divBdr>
        <w:top w:val="none" w:sz="0" w:space="0" w:color="auto"/>
        <w:left w:val="none" w:sz="0" w:space="0" w:color="auto"/>
        <w:bottom w:val="none" w:sz="0" w:space="0" w:color="auto"/>
        <w:right w:val="none" w:sz="0" w:space="0" w:color="auto"/>
      </w:divBdr>
    </w:div>
    <w:div w:id="1473601041">
      <w:bodyDiv w:val="1"/>
      <w:marLeft w:val="0"/>
      <w:marRight w:val="0"/>
      <w:marTop w:val="0"/>
      <w:marBottom w:val="0"/>
      <w:divBdr>
        <w:top w:val="none" w:sz="0" w:space="0" w:color="auto"/>
        <w:left w:val="none" w:sz="0" w:space="0" w:color="auto"/>
        <w:bottom w:val="none" w:sz="0" w:space="0" w:color="auto"/>
        <w:right w:val="none" w:sz="0" w:space="0" w:color="auto"/>
      </w:divBdr>
    </w:div>
    <w:div w:id="1524393322">
      <w:bodyDiv w:val="1"/>
      <w:marLeft w:val="0"/>
      <w:marRight w:val="0"/>
      <w:marTop w:val="0"/>
      <w:marBottom w:val="0"/>
      <w:divBdr>
        <w:top w:val="none" w:sz="0" w:space="0" w:color="auto"/>
        <w:left w:val="none" w:sz="0" w:space="0" w:color="auto"/>
        <w:bottom w:val="none" w:sz="0" w:space="0" w:color="auto"/>
        <w:right w:val="none" w:sz="0" w:space="0" w:color="auto"/>
      </w:divBdr>
    </w:div>
    <w:div w:id="1547791773">
      <w:bodyDiv w:val="1"/>
      <w:marLeft w:val="0"/>
      <w:marRight w:val="0"/>
      <w:marTop w:val="0"/>
      <w:marBottom w:val="0"/>
      <w:divBdr>
        <w:top w:val="none" w:sz="0" w:space="0" w:color="auto"/>
        <w:left w:val="none" w:sz="0" w:space="0" w:color="auto"/>
        <w:bottom w:val="none" w:sz="0" w:space="0" w:color="auto"/>
        <w:right w:val="none" w:sz="0" w:space="0" w:color="auto"/>
      </w:divBdr>
    </w:div>
    <w:div w:id="1739938932">
      <w:bodyDiv w:val="1"/>
      <w:marLeft w:val="0"/>
      <w:marRight w:val="0"/>
      <w:marTop w:val="0"/>
      <w:marBottom w:val="0"/>
      <w:divBdr>
        <w:top w:val="none" w:sz="0" w:space="0" w:color="auto"/>
        <w:left w:val="none" w:sz="0" w:space="0" w:color="auto"/>
        <w:bottom w:val="none" w:sz="0" w:space="0" w:color="auto"/>
        <w:right w:val="none" w:sz="0" w:space="0" w:color="auto"/>
      </w:divBdr>
    </w:div>
    <w:div w:id="1807233307">
      <w:bodyDiv w:val="1"/>
      <w:marLeft w:val="0"/>
      <w:marRight w:val="0"/>
      <w:marTop w:val="0"/>
      <w:marBottom w:val="0"/>
      <w:divBdr>
        <w:top w:val="none" w:sz="0" w:space="0" w:color="auto"/>
        <w:left w:val="none" w:sz="0" w:space="0" w:color="auto"/>
        <w:bottom w:val="none" w:sz="0" w:space="0" w:color="auto"/>
        <w:right w:val="none" w:sz="0" w:space="0" w:color="auto"/>
      </w:divBdr>
    </w:div>
    <w:div w:id="1834955201">
      <w:bodyDiv w:val="1"/>
      <w:marLeft w:val="0"/>
      <w:marRight w:val="0"/>
      <w:marTop w:val="0"/>
      <w:marBottom w:val="0"/>
      <w:divBdr>
        <w:top w:val="none" w:sz="0" w:space="0" w:color="auto"/>
        <w:left w:val="none" w:sz="0" w:space="0" w:color="auto"/>
        <w:bottom w:val="none" w:sz="0" w:space="0" w:color="auto"/>
        <w:right w:val="none" w:sz="0" w:space="0" w:color="auto"/>
      </w:divBdr>
    </w:div>
    <w:div w:id="1903132433">
      <w:bodyDiv w:val="1"/>
      <w:marLeft w:val="0"/>
      <w:marRight w:val="0"/>
      <w:marTop w:val="0"/>
      <w:marBottom w:val="0"/>
      <w:divBdr>
        <w:top w:val="none" w:sz="0" w:space="0" w:color="auto"/>
        <w:left w:val="none" w:sz="0" w:space="0" w:color="auto"/>
        <w:bottom w:val="none" w:sz="0" w:space="0" w:color="auto"/>
        <w:right w:val="none" w:sz="0" w:space="0" w:color="auto"/>
      </w:divBdr>
    </w:div>
    <w:div w:id="1918513483">
      <w:bodyDiv w:val="1"/>
      <w:marLeft w:val="0"/>
      <w:marRight w:val="0"/>
      <w:marTop w:val="0"/>
      <w:marBottom w:val="0"/>
      <w:divBdr>
        <w:top w:val="none" w:sz="0" w:space="0" w:color="auto"/>
        <w:left w:val="none" w:sz="0" w:space="0" w:color="auto"/>
        <w:bottom w:val="none" w:sz="0" w:space="0" w:color="auto"/>
        <w:right w:val="none" w:sz="0" w:space="0" w:color="auto"/>
      </w:divBdr>
    </w:div>
    <w:div w:id="2055501311">
      <w:bodyDiv w:val="1"/>
      <w:marLeft w:val="0"/>
      <w:marRight w:val="0"/>
      <w:marTop w:val="0"/>
      <w:marBottom w:val="0"/>
      <w:divBdr>
        <w:top w:val="none" w:sz="0" w:space="0" w:color="auto"/>
        <w:left w:val="none" w:sz="0" w:space="0" w:color="auto"/>
        <w:bottom w:val="none" w:sz="0" w:space="0" w:color="auto"/>
        <w:right w:val="none" w:sz="0" w:space="0" w:color="auto"/>
      </w:divBdr>
    </w:div>
    <w:div w:id="2114087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ciencedirect.com/topics/medicine-and-dentistry/therapeutic-procedure" TargetMode="External"/><Relationship Id="rId3" Type="http://schemas.openxmlformats.org/officeDocument/2006/relationships/settings" Target="settings.xml"/><Relationship Id="rId7" Type="http://schemas.openxmlformats.org/officeDocument/2006/relationships/hyperlink" Target="https://www.middlesbrough.gov.uk/news/area-become-international-beacon-tackling-health-inequalities" TargetMode="External"/><Relationship Id="rId12" Type="http://schemas.openxmlformats.org/officeDocument/2006/relationships/hyperlink" Target="https://www.sciencedirect.com/topics/medicine-and-dentistry/terminal-illnes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topics/medicine-and-dentistry/quality-of-lif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sciencedirect.com/topics/medicine-and-dentistry/symptomatic-treatment" TargetMode="External"/><Relationship Id="rId4" Type="http://schemas.openxmlformats.org/officeDocument/2006/relationships/webSettings" Target="webSettings.xml"/><Relationship Id="rId9" Type="http://schemas.openxmlformats.org/officeDocument/2006/relationships/image" Target="cid:image002.png@01D94AC6.EEFCDF7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5320</TotalTime>
  <Pages>8</Pages>
  <Words>5950</Words>
  <Characters>33917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grace</dc:creator>
  <cp:keywords/>
  <dc:description/>
  <cp:lastModifiedBy>Divers, Andrew</cp:lastModifiedBy>
  <cp:revision>39</cp:revision>
  <dcterms:created xsi:type="dcterms:W3CDTF">2023-09-29T11:09:00Z</dcterms:created>
  <dcterms:modified xsi:type="dcterms:W3CDTF">2024-04-08T08:35:00Z</dcterms:modified>
</cp:coreProperties>
</file>