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B1539" w14:textId="77777777" w:rsidR="000D22CB" w:rsidRDefault="00A64362">
      <w:pPr>
        <w:spacing w:after="0"/>
        <w:ind w:right="932"/>
        <w:jc w:val="right"/>
      </w:pPr>
      <w:r>
        <w:rPr>
          <w:noProof/>
        </w:rPr>
        <w:drawing>
          <wp:inline distT="0" distB="0" distL="0" distR="0" wp14:anchorId="72A51E1F" wp14:editId="43817583">
            <wp:extent cx="5690341" cy="1033780"/>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7"/>
                    <a:stretch>
                      <a:fillRect/>
                    </a:stretch>
                  </pic:blipFill>
                  <pic:spPr>
                    <a:xfrm>
                      <a:off x="0" y="0"/>
                      <a:ext cx="5690341" cy="1033780"/>
                    </a:xfrm>
                    <a:prstGeom prst="rect">
                      <a:avLst/>
                    </a:prstGeom>
                  </pic:spPr>
                </pic:pic>
              </a:graphicData>
            </a:graphic>
          </wp:inline>
        </w:drawing>
      </w:r>
      <w:r>
        <w:rPr>
          <w:color w:val="2E5496"/>
          <w:sz w:val="32"/>
        </w:rPr>
        <w:t xml:space="preserve"> </w:t>
      </w:r>
    </w:p>
    <w:p w14:paraId="6C589446" w14:textId="77777777" w:rsidR="000D22CB" w:rsidRDefault="00A64362">
      <w:pPr>
        <w:spacing w:after="0"/>
        <w:ind w:right="974"/>
        <w:jc w:val="center"/>
      </w:pPr>
      <w:r>
        <w:rPr>
          <w:color w:val="2E5496"/>
          <w:sz w:val="32"/>
        </w:rPr>
        <w:t xml:space="preserve">O.D Boakye and Professor D. Newbury-Birch </w:t>
      </w:r>
    </w:p>
    <w:p w14:paraId="1D3D36EB" w14:textId="77777777" w:rsidR="000D22CB" w:rsidRDefault="00A64362">
      <w:pPr>
        <w:spacing w:after="386"/>
      </w:pPr>
      <w:r>
        <w:rPr>
          <w:rFonts w:ascii="Times New Roman" w:eastAsia="Times New Roman" w:hAnsi="Times New Roman" w:cs="Times New Roman"/>
          <w:sz w:val="24"/>
        </w:rPr>
        <w:t xml:space="preserve"> </w:t>
      </w:r>
    </w:p>
    <w:p w14:paraId="5070A804" w14:textId="77777777" w:rsidR="000D22CB" w:rsidRDefault="00A64362">
      <w:pPr>
        <w:spacing w:after="1"/>
        <w:ind w:left="-5" w:hanging="10"/>
      </w:pPr>
      <w:r>
        <w:rPr>
          <w:rFonts w:ascii="Lato" w:eastAsia="Lato" w:hAnsi="Lato" w:cs="Lato"/>
          <w:b/>
          <w:i/>
          <w:color w:val="2E5496"/>
          <w:sz w:val="40"/>
        </w:rPr>
        <w:t>Research Insights</w:t>
      </w:r>
      <w:r>
        <w:rPr>
          <w:rFonts w:ascii="Lato" w:eastAsia="Lato" w:hAnsi="Lato" w:cs="Lato"/>
          <w:b/>
          <w:color w:val="2E5496"/>
          <w:sz w:val="40"/>
        </w:rPr>
        <w:t xml:space="preserve">: Alcohol-related falls. </w:t>
      </w:r>
    </w:p>
    <w:p w14:paraId="0CEA88B5" w14:textId="77777777" w:rsidR="000D22CB" w:rsidRDefault="00A64362">
      <w:pPr>
        <w:spacing w:after="0"/>
      </w:pPr>
      <w:r>
        <w:rPr>
          <w:rFonts w:ascii="Lato" w:eastAsia="Lato" w:hAnsi="Lato" w:cs="Lato"/>
          <w:sz w:val="27"/>
        </w:rPr>
        <w:t xml:space="preserve"> </w:t>
      </w:r>
    </w:p>
    <w:tbl>
      <w:tblPr>
        <w:tblStyle w:val="TableGrid"/>
        <w:tblW w:w="11587" w:type="dxa"/>
        <w:tblInd w:w="-1238" w:type="dxa"/>
        <w:tblCellMar>
          <w:top w:w="3" w:type="dxa"/>
          <w:left w:w="106" w:type="dxa"/>
          <w:right w:w="68" w:type="dxa"/>
        </w:tblCellMar>
        <w:tblLook w:val="04A0" w:firstRow="1" w:lastRow="0" w:firstColumn="1" w:lastColumn="0" w:noHBand="0" w:noVBand="1"/>
      </w:tblPr>
      <w:tblGrid>
        <w:gridCol w:w="5491"/>
        <w:gridCol w:w="1560"/>
        <w:gridCol w:w="1699"/>
        <w:gridCol w:w="1421"/>
        <w:gridCol w:w="1416"/>
      </w:tblGrid>
      <w:tr w:rsidR="000D22CB" w14:paraId="545F5E37"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1C8B46C5" w14:textId="77777777" w:rsidR="000D22CB" w:rsidRDefault="00A64362">
            <w:r>
              <w:rPr>
                <w:rFonts w:ascii="Lato" w:eastAsia="Lato" w:hAnsi="Lato" w:cs="Lato"/>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26C431" w14:textId="77777777" w:rsidR="000D22CB" w:rsidRDefault="00A64362">
            <w:pPr>
              <w:ind w:left="5"/>
            </w:pPr>
            <w:r>
              <w:rPr>
                <w:rFonts w:ascii="Lato" w:eastAsia="Lato" w:hAnsi="Lato" w:cs="Lato"/>
              </w:rPr>
              <w:t xml:space="preserve">Hartlepool </w:t>
            </w:r>
          </w:p>
        </w:tc>
        <w:tc>
          <w:tcPr>
            <w:tcW w:w="1699" w:type="dxa"/>
            <w:tcBorders>
              <w:top w:val="single" w:sz="4" w:space="0" w:color="000000"/>
              <w:left w:val="single" w:sz="4" w:space="0" w:color="000000"/>
              <w:bottom w:val="single" w:sz="4" w:space="0" w:color="000000"/>
              <w:right w:val="single" w:sz="4" w:space="0" w:color="000000"/>
            </w:tcBorders>
          </w:tcPr>
          <w:p w14:paraId="3841505C" w14:textId="77777777" w:rsidR="000D22CB" w:rsidRDefault="00A64362">
            <w:pPr>
              <w:jc w:val="both"/>
            </w:pPr>
            <w:r>
              <w:rPr>
                <w:rFonts w:ascii="Lato" w:eastAsia="Lato" w:hAnsi="Lato" w:cs="Lato"/>
              </w:rPr>
              <w:t xml:space="preserve">Middlesbrough </w:t>
            </w:r>
          </w:p>
        </w:tc>
        <w:tc>
          <w:tcPr>
            <w:tcW w:w="1421" w:type="dxa"/>
            <w:tcBorders>
              <w:top w:val="single" w:sz="4" w:space="0" w:color="000000"/>
              <w:left w:val="single" w:sz="4" w:space="0" w:color="000000"/>
              <w:bottom w:val="single" w:sz="4" w:space="0" w:color="000000"/>
              <w:right w:val="single" w:sz="4" w:space="0" w:color="000000"/>
            </w:tcBorders>
          </w:tcPr>
          <w:p w14:paraId="3CB4BAFB" w14:textId="77777777" w:rsidR="000D22CB" w:rsidRDefault="00A64362">
            <w:pPr>
              <w:ind w:left="5"/>
            </w:pPr>
            <w:r>
              <w:rPr>
                <w:rFonts w:ascii="Lato" w:eastAsia="Lato" w:hAnsi="Lato" w:cs="Lato"/>
              </w:rPr>
              <w:t xml:space="preserve">Redcar &amp; Cleveland </w:t>
            </w:r>
          </w:p>
        </w:tc>
        <w:tc>
          <w:tcPr>
            <w:tcW w:w="1416" w:type="dxa"/>
            <w:tcBorders>
              <w:top w:val="single" w:sz="4" w:space="0" w:color="000000"/>
              <w:left w:val="single" w:sz="4" w:space="0" w:color="000000"/>
              <w:bottom w:val="single" w:sz="4" w:space="0" w:color="000000"/>
              <w:right w:val="single" w:sz="4" w:space="0" w:color="000000"/>
            </w:tcBorders>
          </w:tcPr>
          <w:p w14:paraId="7C75F5B0" w14:textId="54416DB4" w:rsidR="000D22CB" w:rsidRDefault="00D30E17">
            <w:r>
              <w:rPr>
                <w:rFonts w:ascii="Lato" w:eastAsia="Lato" w:hAnsi="Lato" w:cs="Lato"/>
              </w:rPr>
              <w:t>England</w:t>
            </w:r>
          </w:p>
        </w:tc>
      </w:tr>
      <w:tr w:rsidR="000D22CB" w14:paraId="4F9B7ED0"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69AE58CB" w14:textId="50A895EB" w:rsidR="000D22CB" w:rsidRDefault="00A64362">
            <w:r>
              <w:rPr>
                <w:rFonts w:ascii="Lato" w:eastAsia="Lato" w:hAnsi="Lato" w:cs="Lato"/>
              </w:rPr>
              <w:t>Emergency admissions due to falls in people aged 65 and over</w:t>
            </w:r>
            <w:r w:rsidR="00756463">
              <w:rPr>
                <w:rFonts w:ascii="Lato" w:eastAsia="Lato" w:hAnsi="Lato" w:cs="Lato"/>
              </w:rPr>
              <w:t xml:space="preserve"> per 100,000 </w:t>
            </w:r>
            <w:r>
              <w:rPr>
                <w:rFonts w:ascii="Lato" w:eastAsia="Lato" w:hAnsi="Lato" w:cs="Lato"/>
              </w:rPr>
              <w:t xml:space="preserve">(2022-2023) </w:t>
            </w:r>
          </w:p>
        </w:tc>
        <w:tc>
          <w:tcPr>
            <w:tcW w:w="1560" w:type="dxa"/>
            <w:tcBorders>
              <w:top w:val="single" w:sz="4" w:space="0" w:color="000000"/>
              <w:left w:val="single" w:sz="4" w:space="0" w:color="000000"/>
              <w:bottom w:val="single" w:sz="4" w:space="0" w:color="000000"/>
              <w:right w:val="single" w:sz="4" w:space="0" w:color="000000"/>
            </w:tcBorders>
          </w:tcPr>
          <w:p w14:paraId="60914467" w14:textId="77777777" w:rsidR="000D22CB" w:rsidRDefault="00A64362">
            <w:pPr>
              <w:ind w:left="5"/>
            </w:pPr>
            <w:r>
              <w:rPr>
                <w:rFonts w:ascii="Lato" w:eastAsia="Lato" w:hAnsi="Lato" w:cs="Lato"/>
                <w:b/>
              </w:rPr>
              <w:t xml:space="preserve">1478 </w:t>
            </w:r>
          </w:p>
        </w:tc>
        <w:tc>
          <w:tcPr>
            <w:tcW w:w="1699" w:type="dxa"/>
            <w:tcBorders>
              <w:top w:val="single" w:sz="4" w:space="0" w:color="000000"/>
              <w:left w:val="single" w:sz="4" w:space="0" w:color="000000"/>
              <w:bottom w:val="single" w:sz="4" w:space="0" w:color="000000"/>
              <w:right w:val="single" w:sz="4" w:space="0" w:color="000000"/>
            </w:tcBorders>
          </w:tcPr>
          <w:p w14:paraId="3FFA0965" w14:textId="77777777" w:rsidR="000D22CB" w:rsidRDefault="00A64362">
            <w:r>
              <w:rPr>
                <w:rFonts w:ascii="Lato" w:eastAsia="Lato" w:hAnsi="Lato" w:cs="Lato"/>
                <w:b/>
              </w:rPr>
              <w:t xml:space="preserve">1871 </w:t>
            </w:r>
          </w:p>
        </w:tc>
        <w:tc>
          <w:tcPr>
            <w:tcW w:w="1421" w:type="dxa"/>
            <w:tcBorders>
              <w:top w:val="single" w:sz="4" w:space="0" w:color="000000"/>
              <w:left w:val="single" w:sz="4" w:space="0" w:color="000000"/>
              <w:bottom w:val="single" w:sz="4" w:space="0" w:color="000000"/>
              <w:right w:val="single" w:sz="4" w:space="0" w:color="000000"/>
            </w:tcBorders>
          </w:tcPr>
          <w:p w14:paraId="764749B2" w14:textId="77777777" w:rsidR="000D22CB" w:rsidRDefault="00A64362">
            <w:pPr>
              <w:ind w:left="5"/>
            </w:pPr>
            <w:r>
              <w:rPr>
                <w:rFonts w:ascii="Lato" w:eastAsia="Lato" w:hAnsi="Lato" w:cs="Lato"/>
                <w:b/>
              </w:rPr>
              <w:t xml:space="preserve">1630 </w:t>
            </w:r>
          </w:p>
        </w:tc>
        <w:tc>
          <w:tcPr>
            <w:tcW w:w="1416" w:type="dxa"/>
            <w:tcBorders>
              <w:top w:val="single" w:sz="4" w:space="0" w:color="000000"/>
              <w:left w:val="single" w:sz="4" w:space="0" w:color="000000"/>
              <w:bottom w:val="single" w:sz="4" w:space="0" w:color="000000"/>
              <w:right w:val="single" w:sz="4" w:space="0" w:color="000000"/>
            </w:tcBorders>
          </w:tcPr>
          <w:p w14:paraId="27E321FC" w14:textId="77777777" w:rsidR="000D22CB" w:rsidRDefault="00A64362">
            <w:r>
              <w:rPr>
                <w:rFonts w:ascii="Lato" w:eastAsia="Lato" w:hAnsi="Lato" w:cs="Lato"/>
              </w:rPr>
              <w:t xml:space="preserve">1933 </w:t>
            </w:r>
          </w:p>
        </w:tc>
      </w:tr>
      <w:tr w:rsidR="000D22CB" w14:paraId="0B105314"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1B5CC93B" w14:textId="6E8C4829" w:rsidR="000D22CB" w:rsidRDefault="00A64362">
            <w:r>
              <w:rPr>
                <w:rFonts w:ascii="Lato" w:eastAsia="Lato" w:hAnsi="Lato" w:cs="Lato"/>
              </w:rPr>
              <w:t>Emergency admissions due to falls in people aged 65 and over -male</w:t>
            </w:r>
            <w:r w:rsidR="00756463">
              <w:rPr>
                <w:rFonts w:ascii="Lato" w:eastAsia="Lato" w:hAnsi="Lato" w:cs="Lato"/>
              </w:rPr>
              <w:t xml:space="preserve"> per 100,000 </w:t>
            </w:r>
            <w:r>
              <w:rPr>
                <w:rFonts w:ascii="Lato" w:eastAsia="Lato" w:hAnsi="Lato" w:cs="Lato"/>
              </w:rPr>
              <w:t xml:space="preserve">(2022-2023) </w:t>
            </w:r>
          </w:p>
        </w:tc>
        <w:tc>
          <w:tcPr>
            <w:tcW w:w="1560" w:type="dxa"/>
            <w:tcBorders>
              <w:top w:val="single" w:sz="4" w:space="0" w:color="000000"/>
              <w:left w:val="single" w:sz="4" w:space="0" w:color="000000"/>
              <w:bottom w:val="single" w:sz="4" w:space="0" w:color="000000"/>
              <w:right w:val="single" w:sz="4" w:space="0" w:color="000000"/>
            </w:tcBorders>
          </w:tcPr>
          <w:p w14:paraId="51A0A3D7" w14:textId="77777777" w:rsidR="000D22CB" w:rsidRDefault="00A64362">
            <w:pPr>
              <w:ind w:left="5"/>
            </w:pPr>
            <w:r>
              <w:rPr>
                <w:rFonts w:ascii="Lato" w:eastAsia="Lato" w:hAnsi="Lato" w:cs="Lato"/>
                <w:b/>
              </w:rPr>
              <w:t xml:space="preserve">1103 </w:t>
            </w:r>
          </w:p>
        </w:tc>
        <w:tc>
          <w:tcPr>
            <w:tcW w:w="1699" w:type="dxa"/>
            <w:tcBorders>
              <w:top w:val="single" w:sz="4" w:space="0" w:color="000000"/>
              <w:left w:val="single" w:sz="4" w:space="0" w:color="000000"/>
              <w:bottom w:val="single" w:sz="4" w:space="0" w:color="000000"/>
              <w:right w:val="single" w:sz="4" w:space="0" w:color="000000"/>
            </w:tcBorders>
          </w:tcPr>
          <w:p w14:paraId="1ABA4CEB" w14:textId="77777777" w:rsidR="000D22CB" w:rsidRDefault="00A64362">
            <w:r>
              <w:rPr>
                <w:rFonts w:ascii="Lato" w:eastAsia="Lato" w:hAnsi="Lato" w:cs="Lato"/>
                <w:b/>
              </w:rPr>
              <w:t xml:space="preserve">1730 </w:t>
            </w:r>
          </w:p>
        </w:tc>
        <w:tc>
          <w:tcPr>
            <w:tcW w:w="1421" w:type="dxa"/>
            <w:tcBorders>
              <w:top w:val="single" w:sz="4" w:space="0" w:color="000000"/>
              <w:left w:val="single" w:sz="4" w:space="0" w:color="000000"/>
              <w:bottom w:val="single" w:sz="4" w:space="0" w:color="000000"/>
              <w:right w:val="single" w:sz="4" w:space="0" w:color="000000"/>
            </w:tcBorders>
          </w:tcPr>
          <w:p w14:paraId="782596BB" w14:textId="77777777" w:rsidR="000D22CB" w:rsidRDefault="00A64362">
            <w:pPr>
              <w:ind w:left="5"/>
            </w:pPr>
            <w:r>
              <w:rPr>
                <w:rFonts w:ascii="Lato" w:eastAsia="Lato" w:hAnsi="Lato" w:cs="Lato"/>
                <w:b/>
              </w:rPr>
              <w:t xml:space="preserve">1410 </w:t>
            </w:r>
          </w:p>
        </w:tc>
        <w:tc>
          <w:tcPr>
            <w:tcW w:w="1416" w:type="dxa"/>
            <w:tcBorders>
              <w:top w:val="single" w:sz="4" w:space="0" w:color="000000"/>
              <w:left w:val="single" w:sz="4" w:space="0" w:color="000000"/>
              <w:bottom w:val="single" w:sz="4" w:space="0" w:color="000000"/>
              <w:right w:val="single" w:sz="4" w:space="0" w:color="000000"/>
            </w:tcBorders>
          </w:tcPr>
          <w:p w14:paraId="55146916" w14:textId="77777777" w:rsidR="000D22CB" w:rsidRDefault="00A64362">
            <w:r>
              <w:rPr>
                <w:rFonts w:ascii="Lato" w:eastAsia="Lato" w:hAnsi="Lato" w:cs="Lato"/>
              </w:rPr>
              <w:t xml:space="preserve">1616 </w:t>
            </w:r>
          </w:p>
        </w:tc>
      </w:tr>
      <w:tr w:rsidR="000D22CB" w14:paraId="7CCAF809"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0C4FD0D4" w14:textId="16B94D66" w:rsidR="000D22CB" w:rsidRDefault="00A64362">
            <w:r>
              <w:rPr>
                <w:rFonts w:ascii="Lato" w:eastAsia="Lato" w:hAnsi="Lato" w:cs="Lato"/>
              </w:rPr>
              <w:t>Emergency admissions due to falls in people aged 65 and over, female</w:t>
            </w:r>
            <w:r w:rsidR="00756463">
              <w:rPr>
                <w:rFonts w:ascii="Lato" w:eastAsia="Lato" w:hAnsi="Lato" w:cs="Lato"/>
              </w:rPr>
              <w:t xml:space="preserve"> per 100,000 </w:t>
            </w:r>
            <w:r>
              <w:rPr>
                <w:rFonts w:ascii="Lato" w:eastAsia="Lato" w:hAnsi="Lato" w:cs="Lato"/>
              </w:rPr>
              <w:t xml:space="preserve">(2022-2023) </w:t>
            </w:r>
          </w:p>
        </w:tc>
        <w:tc>
          <w:tcPr>
            <w:tcW w:w="1560" w:type="dxa"/>
            <w:tcBorders>
              <w:top w:val="single" w:sz="4" w:space="0" w:color="000000"/>
              <w:left w:val="single" w:sz="4" w:space="0" w:color="000000"/>
              <w:bottom w:val="single" w:sz="4" w:space="0" w:color="000000"/>
              <w:right w:val="single" w:sz="4" w:space="0" w:color="000000"/>
            </w:tcBorders>
          </w:tcPr>
          <w:p w14:paraId="6D0B0F15" w14:textId="77777777" w:rsidR="000D22CB" w:rsidRDefault="00A64362">
            <w:pPr>
              <w:ind w:left="5"/>
            </w:pPr>
            <w:r>
              <w:rPr>
                <w:rFonts w:ascii="Lato" w:eastAsia="Lato" w:hAnsi="Lato" w:cs="Lato"/>
                <w:b/>
              </w:rPr>
              <w:t xml:space="preserve">1724 </w:t>
            </w:r>
          </w:p>
        </w:tc>
        <w:tc>
          <w:tcPr>
            <w:tcW w:w="1699" w:type="dxa"/>
            <w:tcBorders>
              <w:top w:val="single" w:sz="4" w:space="0" w:color="000000"/>
              <w:left w:val="single" w:sz="4" w:space="0" w:color="000000"/>
              <w:bottom w:val="single" w:sz="4" w:space="0" w:color="000000"/>
              <w:right w:val="single" w:sz="4" w:space="0" w:color="000000"/>
            </w:tcBorders>
          </w:tcPr>
          <w:p w14:paraId="5C4E9010" w14:textId="77777777" w:rsidR="000D22CB" w:rsidRDefault="00A64362">
            <w:r>
              <w:rPr>
                <w:rFonts w:ascii="Lato" w:eastAsia="Lato" w:hAnsi="Lato" w:cs="Lato"/>
                <w:b/>
              </w:rPr>
              <w:t xml:space="preserve">1985 </w:t>
            </w:r>
          </w:p>
        </w:tc>
        <w:tc>
          <w:tcPr>
            <w:tcW w:w="1421" w:type="dxa"/>
            <w:tcBorders>
              <w:top w:val="single" w:sz="4" w:space="0" w:color="000000"/>
              <w:left w:val="single" w:sz="4" w:space="0" w:color="000000"/>
              <w:bottom w:val="single" w:sz="4" w:space="0" w:color="000000"/>
              <w:right w:val="single" w:sz="4" w:space="0" w:color="000000"/>
            </w:tcBorders>
          </w:tcPr>
          <w:p w14:paraId="4CF9A42E" w14:textId="77777777" w:rsidR="000D22CB" w:rsidRDefault="00A64362">
            <w:pPr>
              <w:ind w:left="5"/>
            </w:pPr>
            <w:r>
              <w:rPr>
                <w:rFonts w:ascii="Lato" w:eastAsia="Lato" w:hAnsi="Lato" w:cs="Lato"/>
                <w:b/>
              </w:rPr>
              <w:t xml:space="preserve">1794 </w:t>
            </w:r>
          </w:p>
        </w:tc>
        <w:tc>
          <w:tcPr>
            <w:tcW w:w="1416" w:type="dxa"/>
            <w:tcBorders>
              <w:top w:val="single" w:sz="4" w:space="0" w:color="000000"/>
              <w:left w:val="single" w:sz="4" w:space="0" w:color="000000"/>
              <w:bottom w:val="single" w:sz="4" w:space="0" w:color="000000"/>
              <w:right w:val="single" w:sz="4" w:space="0" w:color="000000"/>
            </w:tcBorders>
          </w:tcPr>
          <w:p w14:paraId="201C67E8" w14:textId="77777777" w:rsidR="000D22CB" w:rsidRDefault="00A64362">
            <w:r>
              <w:rPr>
                <w:rFonts w:ascii="Lato" w:eastAsia="Lato" w:hAnsi="Lato" w:cs="Lato"/>
              </w:rPr>
              <w:t xml:space="preserve">2170 </w:t>
            </w:r>
          </w:p>
        </w:tc>
      </w:tr>
      <w:tr w:rsidR="000D22CB" w14:paraId="25B2D8EE"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119A596C" w14:textId="5DDB094F" w:rsidR="000D22CB" w:rsidRDefault="00A64362">
            <w:r>
              <w:rPr>
                <w:rFonts w:ascii="Lato" w:eastAsia="Lato" w:hAnsi="Lato" w:cs="Lato"/>
              </w:rPr>
              <w:t>Emergency admissions due to falls in people aged 65 to 79</w:t>
            </w:r>
            <w:r w:rsidR="00756463">
              <w:rPr>
                <w:rFonts w:ascii="Lato" w:eastAsia="Lato" w:hAnsi="Lato" w:cs="Lato"/>
              </w:rPr>
              <w:t xml:space="preserve"> per 100,000 </w:t>
            </w:r>
            <w:r>
              <w:rPr>
                <w:rFonts w:ascii="Lato" w:eastAsia="Lato" w:hAnsi="Lato" w:cs="Lato"/>
              </w:rPr>
              <w:t xml:space="preserve">(2022-2023) </w:t>
            </w:r>
          </w:p>
        </w:tc>
        <w:tc>
          <w:tcPr>
            <w:tcW w:w="1560" w:type="dxa"/>
            <w:tcBorders>
              <w:top w:val="single" w:sz="4" w:space="0" w:color="000000"/>
              <w:left w:val="single" w:sz="4" w:space="0" w:color="000000"/>
              <w:bottom w:val="single" w:sz="4" w:space="0" w:color="000000"/>
              <w:right w:val="single" w:sz="4" w:space="0" w:color="000000"/>
            </w:tcBorders>
          </w:tcPr>
          <w:p w14:paraId="69654A24" w14:textId="77777777" w:rsidR="000D22CB" w:rsidRDefault="00A64362">
            <w:pPr>
              <w:ind w:left="5"/>
            </w:pPr>
            <w:r>
              <w:rPr>
                <w:rFonts w:ascii="Lato" w:eastAsia="Lato" w:hAnsi="Lato" w:cs="Lato"/>
                <w:b/>
              </w:rPr>
              <w:t xml:space="preserve">648 </w:t>
            </w:r>
          </w:p>
        </w:tc>
        <w:tc>
          <w:tcPr>
            <w:tcW w:w="1699" w:type="dxa"/>
            <w:tcBorders>
              <w:top w:val="single" w:sz="4" w:space="0" w:color="000000"/>
              <w:left w:val="single" w:sz="4" w:space="0" w:color="000000"/>
              <w:bottom w:val="single" w:sz="4" w:space="0" w:color="000000"/>
              <w:right w:val="single" w:sz="4" w:space="0" w:color="000000"/>
            </w:tcBorders>
          </w:tcPr>
          <w:p w14:paraId="6DDA32F9" w14:textId="77777777" w:rsidR="000D22CB" w:rsidRDefault="00A64362">
            <w:r>
              <w:rPr>
                <w:rFonts w:ascii="Lato" w:eastAsia="Lato" w:hAnsi="Lato" w:cs="Lato"/>
                <w:b/>
              </w:rPr>
              <w:t xml:space="preserve">921 </w:t>
            </w:r>
          </w:p>
        </w:tc>
        <w:tc>
          <w:tcPr>
            <w:tcW w:w="1421" w:type="dxa"/>
            <w:tcBorders>
              <w:top w:val="single" w:sz="4" w:space="0" w:color="000000"/>
              <w:left w:val="single" w:sz="4" w:space="0" w:color="000000"/>
              <w:bottom w:val="single" w:sz="4" w:space="0" w:color="000000"/>
              <w:right w:val="single" w:sz="4" w:space="0" w:color="000000"/>
            </w:tcBorders>
          </w:tcPr>
          <w:p w14:paraId="66E269E0" w14:textId="77777777" w:rsidR="000D22CB" w:rsidRDefault="00A64362">
            <w:pPr>
              <w:ind w:left="5"/>
            </w:pPr>
            <w:r>
              <w:rPr>
                <w:rFonts w:ascii="Lato" w:eastAsia="Lato" w:hAnsi="Lato" w:cs="Lato"/>
                <w:b/>
              </w:rPr>
              <w:t xml:space="preserve">826 </w:t>
            </w:r>
          </w:p>
        </w:tc>
        <w:tc>
          <w:tcPr>
            <w:tcW w:w="1416" w:type="dxa"/>
            <w:tcBorders>
              <w:top w:val="single" w:sz="4" w:space="0" w:color="000000"/>
              <w:left w:val="single" w:sz="4" w:space="0" w:color="000000"/>
              <w:bottom w:val="single" w:sz="4" w:space="0" w:color="000000"/>
              <w:right w:val="single" w:sz="4" w:space="0" w:color="000000"/>
            </w:tcBorders>
          </w:tcPr>
          <w:p w14:paraId="1704941D" w14:textId="77777777" w:rsidR="000D22CB" w:rsidRDefault="00A64362">
            <w:r>
              <w:rPr>
                <w:rFonts w:ascii="Lato" w:eastAsia="Lato" w:hAnsi="Lato" w:cs="Lato"/>
              </w:rPr>
              <w:t xml:space="preserve">928 </w:t>
            </w:r>
          </w:p>
        </w:tc>
      </w:tr>
      <w:tr w:rsidR="000D22CB" w14:paraId="3DC684CF"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5938E55F" w14:textId="370111F0" w:rsidR="000D22CB" w:rsidRDefault="00A64362">
            <w:r>
              <w:rPr>
                <w:rFonts w:ascii="Lato" w:eastAsia="Lato" w:hAnsi="Lato" w:cs="Lato"/>
              </w:rPr>
              <w:t xml:space="preserve">Emergency admissions due to falls in people aged over 80 </w:t>
            </w:r>
            <w:r w:rsidR="00756463">
              <w:rPr>
                <w:rFonts w:ascii="Lato" w:eastAsia="Lato" w:hAnsi="Lato" w:cs="Lato"/>
              </w:rPr>
              <w:t xml:space="preserve">per 100,000 </w:t>
            </w:r>
            <w:r>
              <w:rPr>
                <w:rFonts w:ascii="Lato" w:eastAsia="Lato" w:hAnsi="Lato" w:cs="Lato"/>
              </w:rPr>
              <w:t xml:space="preserve">(2022-2023) </w:t>
            </w:r>
          </w:p>
        </w:tc>
        <w:tc>
          <w:tcPr>
            <w:tcW w:w="1560" w:type="dxa"/>
            <w:tcBorders>
              <w:top w:val="single" w:sz="4" w:space="0" w:color="000000"/>
              <w:left w:val="single" w:sz="4" w:space="0" w:color="000000"/>
              <w:bottom w:val="single" w:sz="4" w:space="0" w:color="000000"/>
              <w:right w:val="single" w:sz="4" w:space="0" w:color="000000"/>
            </w:tcBorders>
          </w:tcPr>
          <w:p w14:paraId="76C44F37" w14:textId="77777777" w:rsidR="000D22CB" w:rsidRDefault="00A64362">
            <w:pPr>
              <w:ind w:left="5"/>
            </w:pPr>
            <w:r>
              <w:rPr>
                <w:rFonts w:ascii="Lato" w:eastAsia="Lato" w:hAnsi="Lato" w:cs="Lato"/>
                <w:b/>
              </w:rPr>
              <w:t xml:space="preserve">3883 </w:t>
            </w:r>
          </w:p>
        </w:tc>
        <w:tc>
          <w:tcPr>
            <w:tcW w:w="1699" w:type="dxa"/>
            <w:tcBorders>
              <w:top w:val="single" w:sz="4" w:space="0" w:color="000000"/>
              <w:left w:val="single" w:sz="4" w:space="0" w:color="000000"/>
              <w:bottom w:val="single" w:sz="4" w:space="0" w:color="000000"/>
              <w:right w:val="single" w:sz="4" w:space="0" w:color="000000"/>
            </w:tcBorders>
          </w:tcPr>
          <w:p w14:paraId="641FEBC9" w14:textId="77777777" w:rsidR="000D22CB" w:rsidRDefault="00A64362">
            <w:r>
              <w:rPr>
                <w:rFonts w:ascii="Lato" w:eastAsia="Lato" w:hAnsi="Lato" w:cs="Lato"/>
                <w:b/>
              </w:rPr>
              <w:t xml:space="preserve">4626 </w:t>
            </w:r>
          </w:p>
        </w:tc>
        <w:tc>
          <w:tcPr>
            <w:tcW w:w="1421" w:type="dxa"/>
            <w:tcBorders>
              <w:top w:val="single" w:sz="4" w:space="0" w:color="000000"/>
              <w:left w:val="single" w:sz="4" w:space="0" w:color="000000"/>
              <w:bottom w:val="single" w:sz="4" w:space="0" w:color="000000"/>
              <w:right w:val="single" w:sz="4" w:space="0" w:color="000000"/>
            </w:tcBorders>
          </w:tcPr>
          <w:p w14:paraId="37A57322" w14:textId="77777777" w:rsidR="000D22CB" w:rsidRDefault="00A64362">
            <w:pPr>
              <w:ind w:left="5"/>
            </w:pPr>
            <w:r>
              <w:rPr>
                <w:rFonts w:ascii="Lato" w:eastAsia="Lato" w:hAnsi="Lato" w:cs="Lato"/>
                <w:b/>
              </w:rPr>
              <w:t xml:space="preserve">3959 </w:t>
            </w:r>
          </w:p>
        </w:tc>
        <w:tc>
          <w:tcPr>
            <w:tcW w:w="1416" w:type="dxa"/>
            <w:tcBorders>
              <w:top w:val="single" w:sz="4" w:space="0" w:color="000000"/>
              <w:left w:val="single" w:sz="4" w:space="0" w:color="000000"/>
              <w:bottom w:val="single" w:sz="4" w:space="0" w:color="000000"/>
              <w:right w:val="single" w:sz="4" w:space="0" w:color="000000"/>
            </w:tcBorders>
          </w:tcPr>
          <w:p w14:paraId="613EB584" w14:textId="77777777" w:rsidR="000D22CB" w:rsidRDefault="00A64362">
            <w:r>
              <w:rPr>
                <w:rFonts w:ascii="Lato" w:eastAsia="Lato" w:hAnsi="Lato" w:cs="Lato"/>
              </w:rPr>
              <w:t xml:space="preserve">4845 </w:t>
            </w:r>
          </w:p>
        </w:tc>
      </w:tr>
      <w:tr w:rsidR="000D22CB" w14:paraId="42BB6432"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03E1DCB5" w14:textId="3F19EFCA" w:rsidR="000D22CB" w:rsidRDefault="00A64362">
            <w:r>
              <w:rPr>
                <w:rFonts w:ascii="Lato" w:eastAsia="Lato" w:hAnsi="Lato" w:cs="Lato"/>
              </w:rPr>
              <w:t>Mortality rates from accidental falls, all ages</w:t>
            </w:r>
            <w:r w:rsidR="008E6234">
              <w:rPr>
                <w:rFonts w:ascii="Lato" w:eastAsia="Lato" w:hAnsi="Lato" w:cs="Lato"/>
              </w:rPr>
              <w:t xml:space="preserve"> per 100,000 </w:t>
            </w:r>
            <w:r>
              <w:rPr>
                <w:rFonts w:ascii="Lato" w:eastAsia="Lato" w:hAnsi="Lato" w:cs="Lato"/>
              </w:rPr>
              <w:t>(2020</w:t>
            </w:r>
            <w:r w:rsidR="00756463">
              <w:rPr>
                <w:rFonts w:ascii="Lato" w:eastAsia="Lato" w:hAnsi="Lato" w:cs="Lato"/>
              </w:rPr>
              <w:t>-</w:t>
            </w:r>
            <w:r>
              <w:rPr>
                <w:rFonts w:ascii="Lato" w:eastAsia="Lato" w:hAnsi="Lato" w:cs="Lato"/>
              </w:rPr>
              <w:t xml:space="preserve">2022) </w:t>
            </w:r>
          </w:p>
        </w:tc>
        <w:tc>
          <w:tcPr>
            <w:tcW w:w="1560" w:type="dxa"/>
            <w:tcBorders>
              <w:top w:val="single" w:sz="4" w:space="0" w:color="000000"/>
              <w:left w:val="single" w:sz="4" w:space="0" w:color="000000"/>
              <w:bottom w:val="single" w:sz="4" w:space="0" w:color="000000"/>
              <w:right w:val="single" w:sz="4" w:space="0" w:color="000000"/>
            </w:tcBorders>
          </w:tcPr>
          <w:p w14:paraId="0ADCC7A0" w14:textId="77777777" w:rsidR="000D22CB" w:rsidRDefault="00A64362">
            <w:pPr>
              <w:ind w:left="5"/>
            </w:pPr>
            <w:r>
              <w:rPr>
                <w:rFonts w:ascii="Lato" w:eastAsia="Lato" w:hAnsi="Lato" w:cs="Lato"/>
                <w:b/>
              </w:rPr>
              <w:t xml:space="preserve">7.8 </w:t>
            </w:r>
          </w:p>
        </w:tc>
        <w:tc>
          <w:tcPr>
            <w:tcW w:w="1699" w:type="dxa"/>
            <w:tcBorders>
              <w:top w:val="single" w:sz="4" w:space="0" w:color="000000"/>
              <w:left w:val="single" w:sz="4" w:space="0" w:color="000000"/>
              <w:bottom w:val="single" w:sz="4" w:space="0" w:color="000000"/>
              <w:right w:val="single" w:sz="4" w:space="0" w:color="000000"/>
            </w:tcBorders>
          </w:tcPr>
          <w:p w14:paraId="52E2FD9F" w14:textId="77777777" w:rsidR="000D22CB" w:rsidRDefault="00A64362">
            <w:r>
              <w:rPr>
                <w:rFonts w:ascii="Lato" w:eastAsia="Lato" w:hAnsi="Lato" w:cs="Lato"/>
                <w:b/>
              </w:rPr>
              <w:t xml:space="preserve">15.9 </w:t>
            </w:r>
          </w:p>
        </w:tc>
        <w:tc>
          <w:tcPr>
            <w:tcW w:w="1421" w:type="dxa"/>
            <w:tcBorders>
              <w:top w:val="single" w:sz="4" w:space="0" w:color="000000"/>
              <w:left w:val="single" w:sz="4" w:space="0" w:color="000000"/>
              <w:bottom w:val="single" w:sz="4" w:space="0" w:color="000000"/>
              <w:right w:val="single" w:sz="4" w:space="0" w:color="000000"/>
            </w:tcBorders>
          </w:tcPr>
          <w:p w14:paraId="692894F3" w14:textId="77777777" w:rsidR="000D22CB" w:rsidRDefault="00A64362">
            <w:pPr>
              <w:ind w:left="5"/>
            </w:pPr>
            <w:r>
              <w:rPr>
                <w:rFonts w:ascii="Lato" w:eastAsia="Lato" w:hAnsi="Lato" w:cs="Lato"/>
                <w:b/>
              </w:rPr>
              <w:t xml:space="preserve">14.3 </w:t>
            </w:r>
          </w:p>
        </w:tc>
        <w:tc>
          <w:tcPr>
            <w:tcW w:w="1416" w:type="dxa"/>
            <w:tcBorders>
              <w:top w:val="single" w:sz="4" w:space="0" w:color="000000"/>
              <w:left w:val="single" w:sz="4" w:space="0" w:color="000000"/>
              <w:bottom w:val="single" w:sz="4" w:space="0" w:color="000000"/>
              <w:right w:val="single" w:sz="4" w:space="0" w:color="000000"/>
            </w:tcBorders>
          </w:tcPr>
          <w:p w14:paraId="54E72676" w14:textId="77777777" w:rsidR="000D22CB" w:rsidRDefault="00A64362">
            <w:r>
              <w:rPr>
                <w:rFonts w:ascii="Lato" w:eastAsia="Lato" w:hAnsi="Lato" w:cs="Lato"/>
              </w:rPr>
              <w:t xml:space="preserve">12.3 </w:t>
            </w:r>
          </w:p>
        </w:tc>
      </w:tr>
      <w:tr w:rsidR="000D22CB" w14:paraId="3931ABB9"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29FF9826" w14:textId="6110FCC9" w:rsidR="000D22CB" w:rsidRDefault="00A64362">
            <w:r>
              <w:rPr>
                <w:rFonts w:ascii="Lato" w:eastAsia="Lato" w:hAnsi="Lato" w:cs="Lato"/>
              </w:rPr>
              <w:t xml:space="preserve">Mortality rates from accidental falls, all ages, male </w:t>
            </w:r>
            <w:r w:rsidR="008E6234">
              <w:rPr>
                <w:rFonts w:ascii="Lato" w:eastAsia="Lato" w:hAnsi="Lato" w:cs="Lato"/>
              </w:rPr>
              <w:t xml:space="preserve">per 100,000 </w:t>
            </w:r>
            <w:r>
              <w:rPr>
                <w:rFonts w:ascii="Lato" w:eastAsia="Lato" w:hAnsi="Lato" w:cs="Lato"/>
              </w:rPr>
              <w:t xml:space="preserve">(2020-2022) </w:t>
            </w:r>
          </w:p>
        </w:tc>
        <w:tc>
          <w:tcPr>
            <w:tcW w:w="1560" w:type="dxa"/>
            <w:tcBorders>
              <w:top w:val="single" w:sz="4" w:space="0" w:color="000000"/>
              <w:left w:val="single" w:sz="4" w:space="0" w:color="000000"/>
              <w:bottom w:val="single" w:sz="4" w:space="0" w:color="000000"/>
              <w:right w:val="single" w:sz="4" w:space="0" w:color="000000"/>
            </w:tcBorders>
          </w:tcPr>
          <w:p w14:paraId="4D7CB64E" w14:textId="77777777" w:rsidR="000D22CB" w:rsidRDefault="00A64362">
            <w:pPr>
              <w:ind w:left="5"/>
            </w:pPr>
            <w:r>
              <w:rPr>
                <w:rFonts w:ascii="Lato" w:eastAsia="Lato" w:hAnsi="Lato" w:cs="Lato"/>
                <w:b/>
              </w:rPr>
              <w:t xml:space="preserve">9.9 </w:t>
            </w:r>
          </w:p>
        </w:tc>
        <w:tc>
          <w:tcPr>
            <w:tcW w:w="1699" w:type="dxa"/>
            <w:tcBorders>
              <w:top w:val="single" w:sz="4" w:space="0" w:color="000000"/>
              <w:left w:val="single" w:sz="4" w:space="0" w:color="000000"/>
              <w:bottom w:val="single" w:sz="4" w:space="0" w:color="000000"/>
              <w:right w:val="single" w:sz="4" w:space="0" w:color="000000"/>
            </w:tcBorders>
          </w:tcPr>
          <w:p w14:paraId="446AB9A2" w14:textId="77777777" w:rsidR="000D22CB" w:rsidRDefault="00A64362">
            <w:r>
              <w:rPr>
                <w:rFonts w:ascii="Lato" w:eastAsia="Lato" w:hAnsi="Lato" w:cs="Lato"/>
                <w:b/>
              </w:rPr>
              <w:t xml:space="preserve">14.2 </w:t>
            </w:r>
          </w:p>
        </w:tc>
        <w:tc>
          <w:tcPr>
            <w:tcW w:w="1421" w:type="dxa"/>
            <w:tcBorders>
              <w:top w:val="single" w:sz="4" w:space="0" w:color="000000"/>
              <w:left w:val="single" w:sz="4" w:space="0" w:color="000000"/>
              <w:bottom w:val="single" w:sz="4" w:space="0" w:color="000000"/>
              <w:right w:val="single" w:sz="4" w:space="0" w:color="000000"/>
            </w:tcBorders>
          </w:tcPr>
          <w:p w14:paraId="4D6059E3" w14:textId="77777777" w:rsidR="000D22CB" w:rsidRDefault="00A64362">
            <w:pPr>
              <w:ind w:left="5"/>
            </w:pPr>
            <w:r>
              <w:rPr>
                <w:rFonts w:ascii="Lato" w:eastAsia="Lato" w:hAnsi="Lato" w:cs="Lato"/>
                <w:b/>
              </w:rPr>
              <w:t xml:space="preserve">19.0 </w:t>
            </w:r>
          </w:p>
        </w:tc>
        <w:tc>
          <w:tcPr>
            <w:tcW w:w="1416" w:type="dxa"/>
            <w:tcBorders>
              <w:top w:val="single" w:sz="4" w:space="0" w:color="000000"/>
              <w:left w:val="single" w:sz="4" w:space="0" w:color="000000"/>
              <w:bottom w:val="single" w:sz="4" w:space="0" w:color="000000"/>
              <w:right w:val="single" w:sz="4" w:space="0" w:color="000000"/>
            </w:tcBorders>
          </w:tcPr>
          <w:p w14:paraId="046531BC" w14:textId="77777777" w:rsidR="000D22CB" w:rsidRDefault="00A64362">
            <w:r>
              <w:rPr>
                <w:rFonts w:ascii="Lato" w:eastAsia="Lato" w:hAnsi="Lato" w:cs="Lato"/>
              </w:rPr>
              <w:t xml:space="preserve">15.3 </w:t>
            </w:r>
          </w:p>
        </w:tc>
      </w:tr>
      <w:tr w:rsidR="000D22CB" w14:paraId="6DC9456B"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4195BB6A" w14:textId="63BE9424" w:rsidR="000D22CB" w:rsidRDefault="00A64362">
            <w:r>
              <w:rPr>
                <w:rFonts w:ascii="Lato" w:eastAsia="Lato" w:hAnsi="Lato" w:cs="Lato"/>
              </w:rPr>
              <w:t>Mortality rates from accidental falls, female</w:t>
            </w:r>
            <w:r w:rsidR="008E6234">
              <w:rPr>
                <w:rFonts w:ascii="Lato" w:eastAsia="Lato" w:hAnsi="Lato" w:cs="Lato"/>
              </w:rPr>
              <w:t xml:space="preserve"> per 100,000 </w:t>
            </w:r>
            <w:r>
              <w:rPr>
                <w:rFonts w:ascii="Lato" w:eastAsia="Lato" w:hAnsi="Lato" w:cs="Lato"/>
              </w:rPr>
              <w:t>(2020</w:t>
            </w:r>
            <w:r w:rsidR="00756463">
              <w:rPr>
                <w:rFonts w:ascii="Lato" w:eastAsia="Lato" w:hAnsi="Lato" w:cs="Lato"/>
              </w:rPr>
              <w:t>-</w:t>
            </w:r>
            <w:r>
              <w:rPr>
                <w:rFonts w:ascii="Lato" w:eastAsia="Lato" w:hAnsi="Lato" w:cs="Lato"/>
              </w:rPr>
              <w:t xml:space="preserve">2022) </w:t>
            </w:r>
          </w:p>
        </w:tc>
        <w:tc>
          <w:tcPr>
            <w:tcW w:w="1560" w:type="dxa"/>
            <w:tcBorders>
              <w:top w:val="single" w:sz="4" w:space="0" w:color="000000"/>
              <w:left w:val="single" w:sz="4" w:space="0" w:color="000000"/>
              <w:bottom w:val="single" w:sz="4" w:space="0" w:color="000000"/>
              <w:right w:val="single" w:sz="4" w:space="0" w:color="000000"/>
            </w:tcBorders>
          </w:tcPr>
          <w:p w14:paraId="284397DE" w14:textId="77777777" w:rsidR="000D22CB" w:rsidRDefault="00A64362">
            <w:pPr>
              <w:ind w:left="5"/>
            </w:pPr>
            <w:r>
              <w:rPr>
                <w:rFonts w:ascii="Lato" w:eastAsia="Lato" w:hAnsi="Lato" w:cs="Lato"/>
                <w:b/>
              </w:rPr>
              <w:t xml:space="preserve">6.1 </w:t>
            </w:r>
          </w:p>
        </w:tc>
        <w:tc>
          <w:tcPr>
            <w:tcW w:w="1699" w:type="dxa"/>
            <w:tcBorders>
              <w:top w:val="single" w:sz="4" w:space="0" w:color="000000"/>
              <w:left w:val="single" w:sz="4" w:space="0" w:color="000000"/>
              <w:bottom w:val="single" w:sz="4" w:space="0" w:color="000000"/>
              <w:right w:val="single" w:sz="4" w:space="0" w:color="000000"/>
            </w:tcBorders>
          </w:tcPr>
          <w:p w14:paraId="4425E8A1" w14:textId="77777777" w:rsidR="000D22CB" w:rsidRDefault="00A64362">
            <w:r>
              <w:rPr>
                <w:rFonts w:ascii="Lato" w:eastAsia="Lato" w:hAnsi="Lato" w:cs="Lato"/>
                <w:b/>
              </w:rPr>
              <w:t xml:space="preserve">16.4 </w:t>
            </w:r>
          </w:p>
        </w:tc>
        <w:tc>
          <w:tcPr>
            <w:tcW w:w="1421" w:type="dxa"/>
            <w:tcBorders>
              <w:top w:val="single" w:sz="4" w:space="0" w:color="000000"/>
              <w:left w:val="single" w:sz="4" w:space="0" w:color="000000"/>
              <w:bottom w:val="single" w:sz="4" w:space="0" w:color="000000"/>
              <w:right w:val="single" w:sz="4" w:space="0" w:color="000000"/>
            </w:tcBorders>
          </w:tcPr>
          <w:p w14:paraId="7D5A3F2D" w14:textId="77777777" w:rsidR="000D22CB" w:rsidRDefault="00A64362">
            <w:pPr>
              <w:ind w:left="5"/>
            </w:pPr>
            <w:r>
              <w:rPr>
                <w:rFonts w:ascii="Lato" w:eastAsia="Lato" w:hAnsi="Lato" w:cs="Lato"/>
                <w:b/>
              </w:rPr>
              <w:t xml:space="preserve">10.7 </w:t>
            </w:r>
          </w:p>
        </w:tc>
        <w:tc>
          <w:tcPr>
            <w:tcW w:w="1416" w:type="dxa"/>
            <w:tcBorders>
              <w:top w:val="single" w:sz="4" w:space="0" w:color="000000"/>
              <w:left w:val="single" w:sz="4" w:space="0" w:color="000000"/>
              <w:bottom w:val="single" w:sz="4" w:space="0" w:color="000000"/>
              <w:right w:val="single" w:sz="4" w:space="0" w:color="000000"/>
            </w:tcBorders>
          </w:tcPr>
          <w:p w14:paraId="0A36A79F" w14:textId="77777777" w:rsidR="000D22CB" w:rsidRDefault="00A64362">
            <w:r>
              <w:rPr>
                <w:rFonts w:ascii="Lato" w:eastAsia="Lato" w:hAnsi="Lato" w:cs="Lato"/>
              </w:rPr>
              <w:t xml:space="preserve">10.2 </w:t>
            </w:r>
          </w:p>
        </w:tc>
      </w:tr>
      <w:tr w:rsidR="000D22CB" w14:paraId="27BBA7BF" w14:textId="77777777">
        <w:trPr>
          <w:trHeight w:val="542"/>
        </w:trPr>
        <w:tc>
          <w:tcPr>
            <w:tcW w:w="5491" w:type="dxa"/>
            <w:tcBorders>
              <w:top w:val="single" w:sz="4" w:space="0" w:color="000000"/>
              <w:left w:val="single" w:sz="4" w:space="0" w:color="000000"/>
              <w:bottom w:val="single" w:sz="4" w:space="0" w:color="000000"/>
              <w:right w:val="single" w:sz="4" w:space="0" w:color="000000"/>
            </w:tcBorders>
          </w:tcPr>
          <w:p w14:paraId="5D78FEB9" w14:textId="21462337" w:rsidR="000D22CB" w:rsidRDefault="00A64362">
            <w:r>
              <w:rPr>
                <w:rFonts w:ascii="Lato" w:eastAsia="Lato" w:hAnsi="Lato" w:cs="Lato"/>
              </w:rPr>
              <w:t>Admission episodes for alcohol-related unintentional injuries, all ages</w:t>
            </w:r>
            <w:r w:rsidR="00756463">
              <w:rPr>
                <w:rFonts w:ascii="Lato" w:eastAsia="Lato" w:hAnsi="Lato" w:cs="Lato"/>
              </w:rPr>
              <w:t xml:space="preserve"> per 100,000 (2022-2023)</w:t>
            </w:r>
          </w:p>
        </w:tc>
        <w:tc>
          <w:tcPr>
            <w:tcW w:w="1560" w:type="dxa"/>
            <w:tcBorders>
              <w:top w:val="single" w:sz="4" w:space="0" w:color="000000"/>
              <w:left w:val="single" w:sz="4" w:space="0" w:color="000000"/>
              <w:bottom w:val="single" w:sz="4" w:space="0" w:color="000000"/>
              <w:right w:val="single" w:sz="4" w:space="0" w:color="000000"/>
            </w:tcBorders>
          </w:tcPr>
          <w:p w14:paraId="05D0EBC8" w14:textId="77777777" w:rsidR="000D22CB" w:rsidRDefault="00A64362">
            <w:pPr>
              <w:ind w:left="5"/>
            </w:pPr>
            <w:r>
              <w:rPr>
                <w:rFonts w:ascii="Lato" w:eastAsia="Lato" w:hAnsi="Lato" w:cs="Lato"/>
                <w:b/>
              </w:rPr>
              <w:t xml:space="preserve">58.6 </w:t>
            </w:r>
          </w:p>
        </w:tc>
        <w:tc>
          <w:tcPr>
            <w:tcW w:w="1699" w:type="dxa"/>
            <w:tcBorders>
              <w:top w:val="single" w:sz="4" w:space="0" w:color="000000"/>
              <w:left w:val="single" w:sz="4" w:space="0" w:color="000000"/>
              <w:bottom w:val="single" w:sz="4" w:space="0" w:color="000000"/>
              <w:right w:val="single" w:sz="4" w:space="0" w:color="000000"/>
            </w:tcBorders>
          </w:tcPr>
          <w:p w14:paraId="3AF212B3" w14:textId="77777777" w:rsidR="000D22CB" w:rsidRDefault="00A64362">
            <w:r>
              <w:rPr>
                <w:rFonts w:ascii="Lato" w:eastAsia="Lato" w:hAnsi="Lato" w:cs="Lato"/>
                <w:b/>
              </w:rPr>
              <w:t xml:space="preserve">63.3 </w:t>
            </w:r>
          </w:p>
        </w:tc>
        <w:tc>
          <w:tcPr>
            <w:tcW w:w="1421" w:type="dxa"/>
            <w:tcBorders>
              <w:top w:val="single" w:sz="4" w:space="0" w:color="000000"/>
              <w:left w:val="single" w:sz="4" w:space="0" w:color="000000"/>
              <w:bottom w:val="single" w:sz="4" w:space="0" w:color="000000"/>
              <w:right w:val="single" w:sz="4" w:space="0" w:color="000000"/>
            </w:tcBorders>
          </w:tcPr>
          <w:p w14:paraId="73C43BF5" w14:textId="77777777" w:rsidR="000D22CB" w:rsidRDefault="00A64362">
            <w:pPr>
              <w:ind w:left="5"/>
            </w:pPr>
            <w:r>
              <w:rPr>
                <w:rFonts w:ascii="Lato" w:eastAsia="Lato" w:hAnsi="Lato" w:cs="Lato"/>
                <w:b/>
              </w:rPr>
              <w:t xml:space="preserve">56.2 </w:t>
            </w:r>
          </w:p>
        </w:tc>
        <w:tc>
          <w:tcPr>
            <w:tcW w:w="1416" w:type="dxa"/>
            <w:tcBorders>
              <w:top w:val="single" w:sz="4" w:space="0" w:color="000000"/>
              <w:left w:val="single" w:sz="4" w:space="0" w:color="000000"/>
              <w:bottom w:val="single" w:sz="4" w:space="0" w:color="000000"/>
              <w:right w:val="single" w:sz="4" w:space="0" w:color="000000"/>
            </w:tcBorders>
          </w:tcPr>
          <w:p w14:paraId="4A3D2B87" w14:textId="77777777" w:rsidR="000D22CB" w:rsidRDefault="00A64362">
            <w:r>
              <w:rPr>
                <w:rFonts w:ascii="Lato" w:eastAsia="Lato" w:hAnsi="Lato" w:cs="Lato"/>
              </w:rPr>
              <w:t xml:space="preserve">49.7 </w:t>
            </w:r>
          </w:p>
        </w:tc>
      </w:tr>
      <w:tr w:rsidR="000D22CB" w14:paraId="3897A04C"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651F0BB9" w14:textId="1AC1AB4E" w:rsidR="000D22CB" w:rsidRDefault="00A64362">
            <w:r>
              <w:rPr>
                <w:rFonts w:ascii="Lato" w:eastAsia="Lato" w:hAnsi="Lato" w:cs="Lato"/>
              </w:rPr>
              <w:t xml:space="preserve">Admission episodes for alcohol-related unintentional injuries (Narrow) for males </w:t>
            </w:r>
            <w:r w:rsidR="00756463">
              <w:rPr>
                <w:rFonts w:ascii="Lato" w:eastAsia="Lato" w:hAnsi="Lato" w:cs="Lato"/>
              </w:rPr>
              <w:t>per 100,000 (2022-2023)</w:t>
            </w:r>
          </w:p>
        </w:tc>
        <w:tc>
          <w:tcPr>
            <w:tcW w:w="1560" w:type="dxa"/>
            <w:tcBorders>
              <w:top w:val="single" w:sz="4" w:space="0" w:color="000000"/>
              <w:left w:val="single" w:sz="4" w:space="0" w:color="000000"/>
              <w:bottom w:val="single" w:sz="4" w:space="0" w:color="000000"/>
              <w:right w:val="single" w:sz="4" w:space="0" w:color="000000"/>
            </w:tcBorders>
          </w:tcPr>
          <w:p w14:paraId="7311A107" w14:textId="77777777" w:rsidR="000D22CB" w:rsidRDefault="00A64362">
            <w:pPr>
              <w:ind w:left="5"/>
            </w:pPr>
            <w:r>
              <w:rPr>
                <w:rFonts w:ascii="Lato" w:eastAsia="Lato" w:hAnsi="Lato" w:cs="Lato"/>
                <w:b/>
              </w:rPr>
              <w:t xml:space="preserve">106.7 </w:t>
            </w:r>
          </w:p>
        </w:tc>
        <w:tc>
          <w:tcPr>
            <w:tcW w:w="1699" w:type="dxa"/>
            <w:tcBorders>
              <w:top w:val="single" w:sz="4" w:space="0" w:color="000000"/>
              <w:left w:val="single" w:sz="4" w:space="0" w:color="000000"/>
              <w:bottom w:val="single" w:sz="4" w:space="0" w:color="000000"/>
              <w:right w:val="single" w:sz="4" w:space="0" w:color="000000"/>
            </w:tcBorders>
          </w:tcPr>
          <w:p w14:paraId="065B8E2B" w14:textId="77777777" w:rsidR="000D22CB" w:rsidRDefault="00A64362">
            <w:r>
              <w:rPr>
                <w:rFonts w:ascii="Lato" w:eastAsia="Lato" w:hAnsi="Lato" w:cs="Lato"/>
                <w:b/>
              </w:rPr>
              <w:t xml:space="preserve">112.8 </w:t>
            </w:r>
          </w:p>
        </w:tc>
        <w:tc>
          <w:tcPr>
            <w:tcW w:w="1421" w:type="dxa"/>
            <w:tcBorders>
              <w:top w:val="single" w:sz="4" w:space="0" w:color="000000"/>
              <w:left w:val="single" w:sz="4" w:space="0" w:color="000000"/>
              <w:bottom w:val="single" w:sz="4" w:space="0" w:color="000000"/>
              <w:right w:val="single" w:sz="4" w:space="0" w:color="000000"/>
            </w:tcBorders>
          </w:tcPr>
          <w:p w14:paraId="0169CE6F" w14:textId="77777777" w:rsidR="000D22CB" w:rsidRDefault="00A64362">
            <w:pPr>
              <w:ind w:left="5"/>
            </w:pPr>
            <w:r>
              <w:rPr>
                <w:rFonts w:ascii="Lato" w:eastAsia="Lato" w:hAnsi="Lato" w:cs="Lato"/>
                <w:b/>
              </w:rPr>
              <w:t xml:space="preserve">101.1 </w:t>
            </w:r>
          </w:p>
        </w:tc>
        <w:tc>
          <w:tcPr>
            <w:tcW w:w="1416" w:type="dxa"/>
            <w:tcBorders>
              <w:top w:val="single" w:sz="4" w:space="0" w:color="000000"/>
              <w:left w:val="single" w:sz="4" w:space="0" w:color="000000"/>
              <w:bottom w:val="single" w:sz="4" w:space="0" w:color="000000"/>
              <w:right w:val="single" w:sz="4" w:space="0" w:color="000000"/>
            </w:tcBorders>
          </w:tcPr>
          <w:p w14:paraId="53211E63" w14:textId="77777777" w:rsidR="000D22CB" w:rsidRDefault="00A64362">
            <w:r>
              <w:rPr>
                <w:rFonts w:ascii="Lato" w:eastAsia="Lato" w:hAnsi="Lato" w:cs="Lato"/>
              </w:rPr>
              <w:t xml:space="preserve">89 </w:t>
            </w:r>
          </w:p>
        </w:tc>
      </w:tr>
      <w:tr w:rsidR="000D22CB" w14:paraId="6CD51BAB"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2BED4ADE" w14:textId="12D59D44" w:rsidR="000D22CB" w:rsidRDefault="00A64362">
            <w:r>
              <w:rPr>
                <w:rFonts w:ascii="Lato" w:eastAsia="Lato" w:hAnsi="Lato" w:cs="Lato"/>
              </w:rPr>
              <w:t xml:space="preserve">Admission episodes for alcohol-related unintentional injuries (Narrow) for females </w:t>
            </w:r>
            <w:r w:rsidR="00756463">
              <w:rPr>
                <w:rFonts w:ascii="Lato" w:eastAsia="Lato" w:hAnsi="Lato" w:cs="Lato"/>
              </w:rPr>
              <w:t>per 100,000 (2022-2023)</w:t>
            </w:r>
          </w:p>
        </w:tc>
        <w:tc>
          <w:tcPr>
            <w:tcW w:w="1560" w:type="dxa"/>
            <w:tcBorders>
              <w:top w:val="single" w:sz="4" w:space="0" w:color="000000"/>
              <w:left w:val="single" w:sz="4" w:space="0" w:color="000000"/>
              <w:bottom w:val="single" w:sz="4" w:space="0" w:color="000000"/>
              <w:right w:val="single" w:sz="4" w:space="0" w:color="000000"/>
            </w:tcBorders>
          </w:tcPr>
          <w:p w14:paraId="495DF686" w14:textId="77777777" w:rsidR="000D22CB" w:rsidRDefault="00A64362">
            <w:pPr>
              <w:ind w:left="5"/>
            </w:pPr>
            <w:r>
              <w:rPr>
                <w:rFonts w:ascii="Lato" w:eastAsia="Lato" w:hAnsi="Lato" w:cs="Lato"/>
                <w:b/>
              </w:rPr>
              <w:t xml:space="preserve">No data </w:t>
            </w:r>
          </w:p>
        </w:tc>
        <w:tc>
          <w:tcPr>
            <w:tcW w:w="1699" w:type="dxa"/>
            <w:tcBorders>
              <w:top w:val="single" w:sz="4" w:space="0" w:color="000000"/>
              <w:left w:val="single" w:sz="4" w:space="0" w:color="000000"/>
              <w:bottom w:val="single" w:sz="4" w:space="0" w:color="000000"/>
              <w:right w:val="single" w:sz="4" w:space="0" w:color="000000"/>
            </w:tcBorders>
          </w:tcPr>
          <w:p w14:paraId="34C73E49" w14:textId="77777777" w:rsidR="000D22CB" w:rsidRDefault="00A64362">
            <w:r>
              <w:rPr>
                <w:rFonts w:ascii="Lato" w:eastAsia="Lato" w:hAnsi="Lato" w:cs="Lato"/>
                <w:b/>
              </w:rPr>
              <w:t xml:space="preserve">16.3 </w:t>
            </w:r>
          </w:p>
        </w:tc>
        <w:tc>
          <w:tcPr>
            <w:tcW w:w="1421" w:type="dxa"/>
            <w:tcBorders>
              <w:top w:val="single" w:sz="4" w:space="0" w:color="000000"/>
              <w:left w:val="single" w:sz="4" w:space="0" w:color="000000"/>
              <w:bottom w:val="single" w:sz="4" w:space="0" w:color="000000"/>
              <w:right w:val="single" w:sz="4" w:space="0" w:color="000000"/>
            </w:tcBorders>
          </w:tcPr>
          <w:p w14:paraId="5AAD348F" w14:textId="77777777" w:rsidR="000D22CB" w:rsidRDefault="00A64362">
            <w:pPr>
              <w:ind w:left="5"/>
            </w:pPr>
            <w:r>
              <w:rPr>
                <w:rFonts w:ascii="Lato" w:eastAsia="Lato" w:hAnsi="Lato" w:cs="Lato"/>
                <w:b/>
              </w:rPr>
              <w:t xml:space="preserve">14.8 </w:t>
            </w:r>
          </w:p>
        </w:tc>
        <w:tc>
          <w:tcPr>
            <w:tcW w:w="1416" w:type="dxa"/>
            <w:tcBorders>
              <w:top w:val="single" w:sz="4" w:space="0" w:color="000000"/>
              <w:left w:val="single" w:sz="4" w:space="0" w:color="000000"/>
              <w:bottom w:val="single" w:sz="4" w:space="0" w:color="000000"/>
              <w:right w:val="single" w:sz="4" w:space="0" w:color="000000"/>
            </w:tcBorders>
          </w:tcPr>
          <w:p w14:paraId="41C63B13" w14:textId="77777777" w:rsidR="000D22CB" w:rsidRDefault="00A64362">
            <w:r>
              <w:rPr>
                <w:rFonts w:ascii="Lato" w:eastAsia="Lato" w:hAnsi="Lato" w:cs="Lato"/>
              </w:rPr>
              <w:t xml:space="preserve">12.8 </w:t>
            </w:r>
          </w:p>
        </w:tc>
      </w:tr>
      <w:tr w:rsidR="000D22CB" w14:paraId="7CD3BEA8"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4693722C" w14:textId="27FEE996" w:rsidR="000D22CB" w:rsidRDefault="00A64362">
            <w:r>
              <w:rPr>
                <w:rFonts w:ascii="Lato" w:eastAsia="Lato" w:hAnsi="Lato" w:cs="Lato"/>
              </w:rPr>
              <w:t xml:space="preserve">Hip fractures in people aged 65-75 per 100,000 (2021-2023) </w:t>
            </w:r>
          </w:p>
        </w:tc>
        <w:tc>
          <w:tcPr>
            <w:tcW w:w="1560" w:type="dxa"/>
            <w:tcBorders>
              <w:top w:val="single" w:sz="4" w:space="0" w:color="000000"/>
              <w:left w:val="single" w:sz="4" w:space="0" w:color="000000"/>
              <w:bottom w:val="single" w:sz="4" w:space="0" w:color="000000"/>
              <w:right w:val="single" w:sz="4" w:space="0" w:color="000000"/>
            </w:tcBorders>
          </w:tcPr>
          <w:p w14:paraId="218FCFFD" w14:textId="77777777" w:rsidR="000D22CB" w:rsidRDefault="00A64362">
            <w:pPr>
              <w:ind w:left="5"/>
            </w:pPr>
            <w:r>
              <w:rPr>
                <w:rFonts w:ascii="Lato" w:eastAsia="Lato" w:hAnsi="Lato" w:cs="Lato"/>
                <w:b/>
              </w:rPr>
              <w:t xml:space="preserve">268.6 </w:t>
            </w:r>
          </w:p>
        </w:tc>
        <w:tc>
          <w:tcPr>
            <w:tcW w:w="1699" w:type="dxa"/>
            <w:tcBorders>
              <w:top w:val="single" w:sz="4" w:space="0" w:color="000000"/>
              <w:left w:val="single" w:sz="4" w:space="0" w:color="000000"/>
              <w:bottom w:val="single" w:sz="4" w:space="0" w:color="000000"/>
              <w:right w:val="single" w:sz="4" w:space="0" w:color="000000"/>
            </w:tcBorders>
          </w:tcPr>
          <w:p w14:paraId="252AD3C2" w14:textId="77777777" w:rsidR="000D22CB" w:rsidRDefault="00A64362">
            <w:r>
              <w:rPr>
                <w:rFonts w:ascii="Lato" w:eastAsia="Lato" w:hAnsi="Lato" w:cs="Lato"/>
                <w:b/>
              </w:rPr>
              <w:t xml:space="preserve">352.3 </w:t>
            </w:r>
          </w:p>
        </w:tc>
        <w:tc>
          <w:tcPr>
            <w:tcW w:w="1421" w:type="dxa"/>
            <w:tcBorders>
              <w:top w:val="single" w:sz="4" w:space="0" w:color="000000"/>
              <w:left w:val="single" w:sz="4" w:space="0" w:color="000000"/>
              <w:bottom w:val="single" w:sz="4" w:space="0" w:color="000000"/>
              <w:right w:val="single" w:sz="4" w:space="0" w:color="000000"/>
            </w:tcBorders>
          </w:tcPr>
          <w:p w14:paraId="770A91D0" w14:textId="77777777" w:rsidR="000D22CB" w:rsidRDefault="00A64362">
            <w:pPr>
              <w:ind w:left="5"/>
            </w:pPr>
            <w:r>
              <w:rPr>
                <w:rFonts w:ascii="Lato" w:eastAsia="Lato" w:hAnsi="Lato" w:cs="Lato"/>
                <w:b/>
              </w:rPr>
              <w:t xml:space="preserve">231.0 </w:t>
            </w:r>
          </w:p>
        </w:tc>
        <w:tc>
          <w:tcPr>
            <w:tcW w:w="1416" w:type="dxa"/>
            <w:tcBorders>
              <w:top w:val="single" w:sz="4" w:space="0" w:color="000000"/>
              <w:left w:val="single" w:sz="4" w:space="0" w:color="000000"/>
              <w:bottom w:val="single" w:sz="4" w:space="0" w:color="000000"/>
              <w:right w:val="single" w:sz="4" w:space="0" w:color="000000"/>
            </w:tcBorders>
          </w:tcPr>
          <w:p w14:paraId="6B88DEAF" w14:textId="77777777" w:rsidR="000D22CB" w:rsidRDefault="00A64362">
            <w:r>
              <w:rPr>
                <w:rFonts w:ascii="Lato" w:eastAsia="Lato" w:hAnsi="Lato" w:cs="Lato"/>
              </w:rPr>
              <w:t xml:space="preserve">243.8 </w:t>
            </w:r>
          </w:p>
        </w:tc>
      </w:tr>
      <w:tr w:rsidR="000D22CB" w14:paraId="25EBE8B0"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62462033" w14:textId="7953D596" w:rsidR="000D22CB" w:rsidRDefault="00A64362">
            <w:r>
              <w:rPr>
                <w:rFonts w:ascii="Lato" w:eastAsia="Lato" w:hAnsi="Lato" w:cs="Lato"/>
              </w:rPr>
              <w:t xml:space="preserve">Hip fractures in people aged 65 and over per 100,000 (2021-2023) </w:t>
            </w:r>
          </w:p>
        </w:tc>
        <w:tc>
          <w:tcPr>
            <w:tcW w:w="1560" w:type="dxa"/>
            <w:tcBorders>
              <w:top w:val="single" w:sz="4" w:space="0" w:color="000000"/>
              <w:left w:val="single" w:sz="4" w:space="0" w:color="000000"/>
              <w:bottom w:val="single" w:sz="4" w:space="0" w:color="000000"/>
              <w:right w:val="single" w:sz="4" w:space="0" w:color="000000"/>
            </w:tcBorders>
          </w:tcPr>
          <w:p w14:paraId="374E3765" w14:textId="77777777" w:rsidR="000D22CB" w:rsidRDefault="00A64362">
            <w:pPr>
              <w:ind w:left="5"/>
            </w:pPr>
            <w:r>
              <w:rPr>
                <w:rFonts w:ascii="Lato" w:eastAsia="Lato" w:hAnsi="Lato" w:cs="Lato"/>
                <w:b/>
              </w:rPr>
              <w:t xml:space="preserve">634 </w:t>
            </w:r>
          </w:p>
        </w:tc>
        <w:tc>
          <w:tcPr>
            <w:tcW w:w="1699" w:type="dxa"/>
            <w:tcBorders>
              <w:top w:val="single" w:sz="4" w:space="0" w:color="000000"/>
              <w:left w:val="single" w:sz="4" w:space="0" w:color="000000"/>
              <w:bottom w:val="single" w:sz="4" w:space="0" w:color="000000"/>
              <w:right w:val="single" w:sz="4" w:space="0" w:color="000000"/>
            </w:tcBorders>
          </w:tcPr>
          <w:p w14:paraId="4EAFE2A0" w14:textId="77777777" w:rsidR="000D22CB" w:rsidRDefault="00A64362">
            <w:r>
              <w:rPr>
                <w:rFonts w:ascii="Lato" w:eastAsia="Lato" w:hAnsi="Lato" w:cs="Lato"/>
                <w:b/>
              </w:rPr>
              <w:t xml:space="preserve">694 </w:t>
            </w:r>
          </w:p>
        </w:tc>
        <w:tc>
          <w:tcPr>
            <w:tcW w:w="1421" w:type="dxa"/>
            <w:tcBorders>
              <w:top w:val="single" w:sz="4" w:space="0" w:color="000000"/>
              <w:left w:val="single" w:sz="4" w:space="0" w:color="000000"/>
              <w:bottom w:val="single" w:sz="4" w:space="0" w:color="000000"/>
              <w:right w:val="single" w:sz="4" w:space="0" w:color="000000"/>
            </w:tcBorders>
          </w:tcPr>
          <w:p w14:paraId="4C95F229" w14:textId="77777777" w:rsidR="000D22CB" w:rsidRDefault="00A64362">
            <w:pPr>
              <w:ind w:left="5"/>
            </w:pPr>
            <w:r>
              <w:rPr>
                <w:rFonts w:ascii="Lato" w:eastAsia="Lato" w:hAnsi="Lato" w:cs="Lato"/>
                <w:b/>
              </w:rPr>
              <w:t xml:space="preserve">542 </w:t>
            </w:r>
          </w:p>
        </w:tc>
        <w:tc>
          <w:tcPr>
            <w:tcW w:w="1416" w:type="dxa"/>
            <w:tcBorders>
              <w:top w:val="single" w:sz="4" w:space="0" w:color="000000"/>
              <w:left w:val="single" w:sz="4" w:space="0" w:color="000000"/>
              <w:bottom w:val="single" w:sz="4" w:space="0" w:color="000000"/>
              <w:right w:val="single" w:sz="4" w:space="0" w:color="000000"/>
            </w:tcBorders>
          </w:tcPr>
          <w:p w14:paraId="2F77E729" w14:textId="77777777" w:rsidR="000D22CB" w:rsidRDefault="00A64362">
            <w:r>
              <w:rPr>
                <w:rFonts w:ascii="Lato" w:eastAsia="Lato" w:hAnsi="Lato" w:cs="Lato"/>
              </w:rPr>
              <w:t xml:space="preserve">558 </w:t>
            </w:r>
          </w:p>
        </w:tc>
      </w:tr>
      <w:tr w:rsidR="000D22CB" w14:paraId="114F1972" w14:textId="77777777">
        <w:trPr>
          <w:trHeight w:val="538"/>
        </w:trPr>
        <w:tc>
          <w:tcPr>
            <w:tcW w:w="5491" w:type="dxa"/>
            <w:tcBorders>
              <w:top w:val="single" w:sz="4" w:space="0" w:color="000000"/>
              <w:left w:val="single" w:sz="4" w:space="0" w:color="000000"/>
              <w:bottom w:val="single" w:sz="4" w:space="0" w:color="000000"/>
              <w:right w:val="single" w:sz="4" w:space="0" w:color="000000"/>
            </w:tcBorders>
          </w:tcPr>
          <w:p w14:paraId="664A64C7" w14:textId="277BF16A" w:rsidR="000D22CB" w:rsidRDefault="00A64362">
            <w:r>
              <w:rPr>
                <w:rFonts w:ascii="Lato" w:eastAsia="Lato" w:hAnsi="Lato" w:cs="Lato"/>
              </w:rPr>
              <w:t xml:space="preserve">Emergency hospitalisations for hip fractures </w:t>
            </w:r>
            <w:r w:rsidR="008E6234">
              <w:rPr>
                <w:rFonts w:ascii="Lato" w:eastAsia="Lato" w:hAnsi="Lato" w:cs="Lato"/>
              </w:rPr>
              <w:t xml:space="preserve">per </w:t>
            </w:r>
            <w:proofErr w:type="gramStart"/>
            <w:r w:rsidR="008E6234">
              <w:rPr>
                <w:rFonts w:ascii="Lato" w:eastAsia="Lato" w:hAnsi="Lato" w:cs="Lato"/>
              </w:rPr>
              <w:t>100,00</w:t>
            </w:r>
            <w:r w:rsidR="00D30E17">
              <w:rPr>
                <w:rFonts w:ascii="Lato" w:eastAsia="Lato" w:hAnsi="Lato" w:cs="Lato"/>
              </w:rPr>
              <w:t>0</w:t>
            </w:r>
            <w:r w:rsidR="008E6234">
              <w:rPr>
                <w:rFonts w:ascii="Lato" w:eastAsia="Lato" w:hAnsi="Lato" w:cs="Lato"/>
              </w:rPr>
              <w:t xml:space="preserve">  </w:t>
            </w:r>
            <w:r>
              <w:rPr>
                <w:rFonts w:ascii="Lato" w:eastAsia="Lato" w:hAnsi="Lato" w:cs="Lato"/>
              </w:rPr>
              <w:t>(</w:t>
            </w:r>
            <w:proofErr w:type="gramEnd"/>
            <w:r>
              <w:rPr>
                <w:rFonts w:ascii="Lato" w:eastAsia="Lato" w:hAnsi="Lato" w:cs="Lato"/>
              </w:rPr>
              <w:t>2016</w:t>
            </w:r>
            <w:r w:rsidR="008E6234">
              <w:rPr>
                <w:rFonts w:ascii="Lato" w:eastAsia="Lato" w:hAnsi="Lato" w:cs="Lato"/>
              </w:rPr>
              <w:t>-</w:t>
            </w:r>
            <w:r>
              <w:rPr>
                <w:rFonts w:ascii="Lato" w:eastAsia="Lato" w:hAnsi="Lato" w:cs="Lato"/>
              </w:rPr>
              <w:t>2021)</w:t>
            </w:r>
            <w:r w:rsidR="00756463">
              <w:rPr>
                <w:rFonts w:ascii="Lato" w:eastAsia="Lato" w:hAnsi="Lato" w:cs="Lato"/>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091303" w14:textId="77777777" w:rsidR="000D22CB" w:rsidRDefault="00A64362">
            <w:pPr>
              <w:ind w:left="5"/>
            </w:pPr>
            <w:r>
              <w:rPr>
                <w:rFonts w:ascii="Lato" w:eastAsia="Lato" w:hAnsi="Lato" w:cs="Lato"/>
                <w:b/>
              </w:rPr>
              <w:t xml:space="preserve">116.9 </w:t>
            </w:r>
          </w:p>
        </w:tc>
        <w:tc>
          <w:tcPr>
            <w:tcW w:w="1699" w:type="dxa"/>
            <w:tcBorders>
              <w:top w:val="single" w:sz="4" w:space="0" w:color="000000"/>
              <w:left w:val="single" w:sz="4" w:space="0" w:color="000000"/>
              <w:bottom w:val="single" w:sz="4" w:space="0" w:color="000000"/>
              <w:right w:val="single" w:sz="4" w:space="0" w:color="000000"/>
            </w:tcBorders>
          </w:tcPr>
          <w:p w14:paraId="2A2B496F" w14:textId="77777777" w:rsidR="000D22CB" w:rsidRDefault="00A64362">
            <w:r>
              <w:rPr>
                <w:rFonts w:ascii="Lato" w:eastAsia="Lato" w:hAnsi="Lato" w:cs="Lato"/>
                <w:b/>
              </w:rPr>
              <w:t xml:space="preserve">128.8 </w:t>
            </w:r>
          </w:p>
        </w:tc>
        <w:tc>
          <w:tcPr>
            <w:tcW w:w="1421" w:type="dxa"/>
            <w:tcBorders>
              <w:top w:val="single" w:sz="4" w:space="0" w:color="000000"/>
              <w:left w:val="single" w:sz="4" w:space="0" w:color="000000"/>
              <w:bottom w:val="single" w:sz="4" w:space="0" w:color="000000"/>
              <w:right w:val="single" w:sz="4" w:space="0" w:color="000000"/>
            </w:tcBorders>
          </w:tcPr>
          <w:p w14:paraId="59ACFE04" w14:textId="77777777" w:rsidR="000D22CB" w:rsidRDefault="00A64362">
            <w:pPr>
              <w:ind w:left="5"/>
            </w:pPr>
            <w:r>
              <w:rPr>
                <w:rFonts w:ascii="Lato" w:eastAsia="Lato" w:hAnsi="Lato" w:cs="Lato"/>
                <w:b/>
              </w:rPr>
              <w:t xml:space="preserve">96.2 </w:t>
            </w:r>
          </w:p>
        </w:tc>
        <w:tc>
          <w:tcPr>
            <w:tcW w:w="1416" w:type="dxa"/>
            <w:tcBorders>
              <w:top w:val="single" w:sz="4" w:space="0" w:color="000000"/>
              <w:left w:val="single" w:sz="4" w:space="0" w:color="000000"/>
              <w:bottom w:val="single" w:sz="4" w:space="0" w:color="000000"/>
              <w:right w:val="single" w:sz="4" w:space="0" w:color="000000"/>
            </w:tcBorders>
          </w:tcPr>
          <w:p w14:paraId="5C99BF5C" w14:textId="77777777" w:rsidR="000D22CB" w:rsidRDefault="00A64362">
            <w:r>
              <w:rPr>
                <w:rFonts w:ascii="Lato" w:eastAsia="Lato" w:hAnsi="Lato" w:cs="Lato"/>
              </w:rPr>
              <w:t xml:space="preserve">100 </w:t>
            </w:r>
          </w:p>
        </w:tc>
      </w:tr>
    </w:tbl>
    <w:p w14:paraId="64FC636E" w14:textId="3F1BE1CC" w:rsidR="00756463" w:rsidRDefault="00756463" w:rsidP="00756463">
      <w:pPr>
        <w:spacing w:after="0"/>
      </w:pPr>
    </w:p>
    <w:p w14:paraId="04BBDA88" w14:textId="77777777" w:rsidR="00D30E17" w:rsidRPr="00756463" w:rsidRDefault="00D30E17" w:rsidP="00756463">
      <w:pPr>
        <w:spacing w:after="0"/>
      </w:pPr>
    </w:p>
    <w:p w14:paraId="05E6D27E" w14:textId="00E825BD" w:rsidR="000D22CB" w:rsidRDefault="00A64362">
      <w:pPr>
        <w:spacing w:after="1"/>
        <w:ind w:left="-5" w:hanging="10"/>
      </w:pPr>
      <w:r>
        <w:rPr>
          <w:rFonts w:ascii="Lato" w:eastAsia="Lato" w:hAnsi="Lato" w:cs="Lato"/>
          <w:b/>
          <w:color w:val="2E5496"/>
          <w:sz w:val="40"/>
        </w:rPr>
        <w:t xml:space="preserve">Prevalence of alcohol-related injuries and demographics. </w:t>
      </w:r>
    </w:p>
    <w:p w14:paraId="0325E6D2" w14:textId="77777777" w:rsidR="000D22CB" w:rsidRDefault="00A64362">
      <w:pPr>
        <w:spacing w:after="21"/>
      </w:pPr>
      <w:r>
        <w:rPr>
          <w:rFonts w:ascii="Times New Roman" w:eastAsia="Times New Roman" w:hAnsi="Times New Roman" w:cs="Times New Roman"/>
          <w:sz w:val="24"/>
        </w:rPr>
        <w:t xml:space="preserve"> </w:t>
      </w:r>
    </w:p>
    <w:p w14:paraId="6014BEDC" w14:textId="77777777" w:rsidR="000D22CB" w:rsidRDefault="00A64362">
      <w:pPr>
        <w:spacing w:after="0"/>
        <w:ind w:left="-5" w:hanging="10"/>
      </w:pPr>
      <w:r>
        <w:rPr>
          <w:rFonts w:ascii="Lato" w:eastAsia="Lato" w:hAnsi="Lato" w:cs="Lato"/>
          <w:color w:val="4471C4"/>
          <w:sz w:val="27"/>
        </w:rPr>
        <w:lastRenderedPageBreak/>
        <w:t xml:space="preserve">Alcohol consumption. </w:t>
      </w:r>
    </w:p>
    <w:p w14:paraId="16EADD16" w14:textId="77777777" w:rsidR="000D22CB" w:rsidRDefault="00A64362">
      <w:pPr>
        <w:spacing w:after="0"/>
      </w:pPr>
      <w:r>
        <w:rPr>
          <w:rFonts w:ascii="Lato" w:eastAsia="Lato" w:hAnsi="Lato" w:cs="Lato"/>
          <w:sz w:val="27"/>
        </w:rPr>
        <w:t xml:space="preserve"> </w:t>
      </w:r>
    </w:p>
    <w:p w14:paraId="4B305355" w14:textId="77777777" w:rsidR="000D22CB" w:rsidRDefault="00A64362">
      <w:pPr>
        <w:numPr>
          <w:ilvl w:val="0"/>
          <w:numId w:val="1"/>
        </w:numPr>
        <w:spacing w:after="4" w:line="250" w:lineRule="auto"/>
        <w:ind w:right="971" w:hanging="360"/>
      </w:pPr>
      <w:r>
        <w:rPr>
          <w:rFonts w:ascii="Lato" w:eastAsia="Lato" w:hAnsi="Lato" w:cs="Lato"/>
          <w:sz w:val="27"/>
        </w:rPr>
        <w:t xml:space="preserve">Alcohol’s link to the risk of falls using the Risk Factor Model for Falls developed by the World Health Organization (WHO) as a part of the behavioural domain (Qian </w:t>
      </w:r>
      <w:r>
        <w:rPr>
          <w:rFonts w:ascii="Lato" w:eastAsia="Lato" w:hAnsi="Lato" w:cs="Lato"/>
          <w:i/>
          <w:sz w:val="27"/>
        </w:rPr>
        <w:t>et al</w:t>
      </w:r>
      <w:r>
        <w:rPr>
          <w:rFonts w:ascii="Lato" w:eastAsia="Lato" w:hAnsi="Lato" w:cs="Lato"/>
          <w:sz w:val="27"/>
        </w:rPr>
        <w:t xml:space="preserve">., 2020). </w:t>
      </w:r>
    </w:p>
    <w:p w14:paraId="17F9C284" w14:textId="77777777" w:rsidR="000D22CB" w:rsidRDefault="00A64362">
      <w:pPr>
        <w:spacing w:after="0"/>
      </w:pPr>
      <w:r>
        <w:rPr>
          <w:rFonts w:ascii="Lato" w:eastAsia="Lato" w:hAnsi="Lato" w:cs="Lato"/>
          <w:sz w:val="27"/>
        </w:rPr>
        <w:t xml:space="preserve"> </w:t>
      </w:r>
    </w:p>
    <w:p w14:paraId="63A8053D" w14:textId="77777777" w:rsidR="000D22CB" w:rsidRDefault="00A64362">
      <w:pPr>
        <w:numPr>
          <w:ilvl w:val="0"/>
          <w:numId w:val="1"/>
        </w:numPr>
        <w:spacing w:after="4" w:line="250" w:lineRule="auto"/>
        <w:ind w:right="971" w:hanging="360"/>
      </w:pPr>
      <w:r>
        <w:rPr>
          <w:rFonts w:ascii="Lato" w:eastAsia="Lato" w:hAnsi="Lato" w:cs="Lato"/>
          <w:sz w:val="27"/>
        </w:rPr>
        <w:t xml:space="preserve">Drinking pattern (binge drinking/risky drinking) is linked to fall risk. The risk of falls for persons drinking to intoxication monthly or more often increased up to 10 times (Bye, </w:t>
      </w:r>
      <w:proofErr w:type="spellStart"/>
      <w:r>
        <w:rPr>
          <w:rFonts w:ascii="Lato" w:eastAsia="Lato" w:hAnsi="Lato" w:cs="Lato"/>
          <w:sz w:val="27"/>
        </w:rPr>
        <w:t>Bogstrand</w:t>
      </w:r>
      <w:proofErr w:type="spellEnd"/>
      <w:r>
        <w:rPr>
          <w:rFonts w:ascii="Lato" w:eastAsia="Lato" w:hAnsi="Lato" w:cs="Lato"/>
          <w:sz w:val="27"/>
        </w:rPr>
        <w:t xml:space="preserve"> and Rossow, 2021). </w:t>
      </w:r>
    </w:p>
    <w:p w14:paraId="3FDDD358" w14:textId="77777777" w:rsidR="000D22CB" w:rsidRDefault="00A64362">
      <w:pPr>
        <w:spacing w:after="0"/>
      </w:pPr>
      <w:r>
        <w:rPr>
          <w:rFonts w:ascii="Lato" w:eastAsia="Lato" w:hAnsi="Lato" w:cs="Lato"/>
          <w:sz w:val="27"/>
        </w:rPr>
        <w:t xml:space="preserve"> </w:t>
      </w:r>
    </w:p>
    <w:p w14:paraId="3C01BD2C" w14:textId="5C0BF70F" w:rsidR="000D22CB" w:rsidRDefault="00A64362">
      <w:pPr>
        <w:numPr>
          <w:ilvl w:val="0"/>
          <w:numId w:val="1"/>
        </w:numPr>
        <w:spacing w:after="4" w:line="250" w:lineRule="auto"/>
        <w:ind w:right="971" w:hanging="360"/>
      </w:pPr>
      <w:r>
        <w:rPr>
          <w:rFonts w:ascii="Lato" w:eastAsia="Lato" w:hAnsi="Lato" w:cs="Lato"/>
          <w:sz w:val="27"/>
        </w:rPr>
        <w:t xml:space="preserve">Though the trends for binge drinking for 16- to 24-year-olds have dropped by 11 percentage points since 2005, the trend is inconsistent with the increase in hospital admissions linked to alcohol intake. The rates have doubled in 6 years due to alcohol poisoning and account for 70% of A&amp;E admissions between 12 am and 5 am during the weekends (Arnett and </w:t>
      </w:r>
      <w:proofErr w:type="spellStart"/>
      <w:r>
        <w:rPr>
          <w:rFonts w:ascii="Lato" w:eastAsia="Lato" w:hAnsi="Lato" w:cs="Lato"/>
          <w:sz w:val="27"/>
        </w:rPr>
        <w:t>Robineau</w:t>
      </w:r>
      <w:proofErr w:type="spellEnd"/>
      <w:r>
        <w:rPr>
          <w:rFonts w:ascii="Lato" w:eastAsia="Lato" w:hAnsi="Lato" w:cs="Lato"/>
          <w:sz w:val="27"/>
        </w:rPr>
        <w:t>, 2017)</w:t>
      </w:r>
      <w:r w:rsidR="00D30E17">
        <w:rPr>
          <w:rFonts w:ascii="Lato" w:eastAsia="Lato" w:hAnsi="Lato" w:cs="Lato"/>
          <w:sz w:val="27"/>
        </w:rPr>
        <w:t xml:space="preserve">. </w:t>
      </w:r>
    </w:p>
    <w:p w14:paraId="29C31189" w14:textId="77777777" w:rsidR="000D22CB" w:rsidRDefault="00A64362">
      <w:pPr>
        <w:spacing w:after="0"/>
      </w:pPr>
      <w:r>
        <w:rPr>
          <w:rFonts w:ascii="Lato" w:eastAsia="Lato" w:hAnsi="Lato" w:cs="Lato"/>
          <w:sz w:val="27"/>
        </w:rPr>
        <w:t xml:space="preserve"> </w:t>
      </w:r>
    </w:p>
    <w:p w14:paraId="3B84725C" w14:textId="77777777" w:rsidR="000D22CB" w:rsidRDefault="00A64362">
      <w:pPr>
        <w:numPr>
          <w:ilvl w:val="0"/>
          <w:numId w:val="1"/>
        </w:numPr>
        <w:spacing w:after="4" w:line="250" w:lineRule="auto"/>
        <w:ind w:right="971" w:hanging="360"/>
      </w:pPr>
      <w:r>
        <w:rPr>
          <w:rFonts w:ascii="Lato" w:eastAsia="Lato" w:hAnsi="Lato" w:cs="Lato"/>
          <w:sz w:val="27"/>
        </w:rPr>
        <w:t xml:space="preserve">Moderate alcohol intake has been linked to reduced falls in people, while alcohol intake above the recommended limit is linked to an increased risk of falls (Tan </w:t>
      </w:r>
      <w:r>
        <w:rPr>
          <w:rFonts w:ascii="Lato" w:eastAsia="Lato" w:hAnsi="Lato" w:cs="Lato"/>
          <w:i/>
          <w:sz w:val="27"/>
        </w:rPr>
        <w:t>et al.,</w:t>
      </w:r>
      <w:r>
        <w:rPr>
          <w:rFonts w:ascii="Lato" w:eastAsia="Lato" w:hAnsi="Lato" w:cs="Lato"/>
          <w:sz w:val="27"/>
        </w:rPr>
        <w:t xml:space="preserve"> 2021; Close, 2003). </w:t>
      </w:r>
    </w:p>
    <w:p w14:paraId="63241919" w14:textId="77777777" w:rsidR="000D22CB" w:rsidRDefault="00A64362">
      <w:pPr>
        <w:spacing w:after="0"/>
      </w:pPr>
      <w:r>
        <w:rPr>
          <w:rFonts w:ascii="Lato" w:eastAsia="Lato" w:hAnsi="Lato" w:cs="Lato"/>
          <w:sz w:val="27"/>
        </w:rPr>
        <w:t xml:space="preserve"> </w:t>
      </w:r>
    </w:p>
    <w:p w14:paraId="7AE3C093" w14:textId="77777777" w:rsidR="000D22CB" w:rsidRDefault="00A64362">
      <w:pPr>
        <w:numPr>
          <w:ilvl w:val="0"/>
          <w:numId w:val="1"/>
        </w:numPr>
        <w:spacing w:after="4" w:line="250" w:lineRule="auto"/>
        <w:ind w:right="971" w:hanging="360"/>
      </w:pPr>
      <w:r>
        <w:rPr>
          <w:rFonts w:ascii="Lato" w:eastAsia="Lato" w:hAnsi="Lato" w:cs="Lato"/>
          <w:sz w:val="27"/>
        </w:rPr>
        <w:t>Alcohol intake is not a significant or strong factor in determining the risk of falls in older adults but is multifactorial, especially in combination with medications (</w:t>
      </w:r>
      <w:proofErr w:type="gramStart"/>
      <w:r>
        <w:rPr>
          <w:rFonts w:ascii="Lato" w:eastAsia="Lato" w:hAnsi="Lato" w:cs="Lato"/>
          <w:sz w:val="27"/>
        </w:rPr>
        <w:t>polypharmacy)  (</w:t>
      </w:r>
      <w:proofErr w:type="gramEnd"/>
      <w:r>
        <w:rPr>
          <w:rFonts w:ascii="Lato" w:eastAsia="Lato" w:hAnsi="Lato" w:cs="Lato"/>
          <w:sz w:val="27"/>
        </w:rPr>
        <w:t xml:space="preserve">Wong </w:t>
      </w:r>
      <w:r>
        <w:rPr>
          <w:rFonts w:ascii="Lato" w:eastAsia="Lato" w:hAnsi="Lato" w:cs="Lato"/>
          <w:i/>
          <w:sz w:val="27"/>
        </w:rPr>
        <w:t>et al.,</w:t>
      </w:r>
      <w:r>
        <w:rPr>
          <w:rFonts w:ascii="Lato" w:eastAsia="Lato" w:hAnsi="Lato" w:cs="Lato"/>
          <w:sz w:val="27"/>
        </w:rPr>
        <w:t xml:space="preserve"> 2016). </w:t>
      </w:r>
    </w:p>
    <w:p w14:paraId="0E5FC835" w14:textId="77777777" w:rsidR="000D22CB" w:rsidRDefault="00A64362">
      <w:pPr>
        <w:spacing w:after="0"/>
      </w:pPr>
      <w:r>
        <w:rPr>
          <w:rFonts w:ascii="Lato" w:eastAsia="Lato" w:hAnsi="Lato" w:cs="Lato"/>
          <w:sz w:val="27"/>
        </w:rPr>
        <w:t xml:space="preserve"> </w:t>
      </w:r>
    </w:p>
    <w:p w14:paraId="0B905606" w14:textId="77777777" w:rsidR="000D22CB" w:rsidRDefault="00A64362">
      <w:pPr>
        <w:numPr>
          <w:ilvl w:val="0"/>
          <w:numId w:val="1"/>
        </w:numPr>
        <w:spacing w:after="4" w:line="250" w:lineRule="auto"/>
        <w:ind w:right="971" w:hanging="360"/>
      </w:pPr>
      <w:r>
        <w:rPr>
          <w:rFonts w:ascii="Lato" w:eastAsia="Lato" w:hAnsi="Lato" w:cs="Lato"/>
          <w:sz w:val="27"/>
        </w:rPr>
        <w:t>The risk for alcohol-related falls increases with alcohol consumption but this risk varies across other factors such as gender, age, socioeconomic factors, and drinking pattern (</w:t>
      </w:r>
      <w:proofErr w:type="spellStart"/>
      <w:r>
        <w:rPr>
          <w:rFonts w:ascii="Lato" w:eastAsia="Lato" w:hAnsi="Lato" w:cs="Lato"/>
          <w:sz w:val="27"/>
        </w:rPr>
        <w:t>Cherpitel</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2014). Having two drinks doubled the risk of an unintentional fall and having more than three drinks multiplied the risk of an accidental fall by 12 (Kool </w:t>
      </w:r>
      <w:r>
        <w:rPr>
          <w:rFonts w:ascii="Lato" w:eastAsia="Lato" w:hAnsi="Lato" w:cs="Lato"/>
          <w:i/>
          <w:sz w:val="27"/>
        </w:rPr>
        <w:t>et al.,</w:t>
      </w:r>
      <w:r>
        <w:rPr>
          <w:rFonts w:ascii="Lato" w:eastAsia="Lato" w:hAnsi="Lato" w:cs="Lato"/>
          <w:sz w:val="27"/>
        </w:rPr>
        <w:t xml:space="preserve"> 2008). </w:t>
      </w:r>
    </w:p>
    <w:p w14:paraId="3B40E392" w14:textId="77777777" w:rsidR="000D22CB" w:rsidRDefault="00A64362">
      <w:pPr>
        <w:spacing w:after="0"/>
      </w:pPr>
      <w:r>
        <w:rPr>
          <w:rFonts w:ascii="Lato" w:eastAsia="Lato" w:hAnsi="Lato" w:cs="Lato"/>
          <w:sz w:val="27"/>
        </w:rPr>
        <w:t xml:space="preserve"> </w:t>
      </w:r>
    </w:p>
    <w:p w14:paraId="43672524" w14:textId="77777777" w:rsidR="000D22CB" w:rsidRDefault="00A64362">
      <w:pPr>
        <w:numPr>
          <w:ilvl w:val="0"/>
          <w:numId w:val="1"/>
        </w:numPr>
        <w:spacing w:after="4" w:line="250" w:lineRule="auto"/>
        <w:ind w:right="971" w:hanging="360"/>
      </w:pPr>
      <w:r>
        <w:rPr>
          <w:rFonts w:ascii="Lato" w:eastAsia="Lato" w:hAnsi="Lato" w:cs="Lato"/>
          <w:sz w:val="27"/>
        </w:rPr>
        <w:t xml:space="preserve">The links between alcohol consumption and falls provide different results based on the type of study conducted. </w:t>
      </w:r>
      <w:proofErr w:type="spellStart"/>
      <w:r>
        <w:rPr>
          <w:rFonts w:ascii="Lato" w:eastAsia="Lato" w:hAnsi="Lato" w:cs="Lato"/>
          <w:sz w:val="27"/>
        </w:rPr>
        <w:t>Mukamal</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(2004) found conflicting results on the link between alcohol and falls using both longitudinal and cross-sectional studies. </w:t>
      </w:r>
    </w:p>
    <w:p w14:paraId="6708AC65" w14:textId="77777777" w:rsidR="000D22CB" w:rsidRDefault="00A64362">
      <w:pPr>
        <w:spacing w:after="0"/>
      </w:pPr>
      <w:r>
        <w:rPr>
          <w:rFonts w:ascii="Lato" w:eastAsia="Lato" w:hAnsi="Lato" w:cs="Lato"/>
          <w:sz w:val="27"/>
        </w:rPr>
        <w:t xml:space="preserve"> </w:t>
      </w:r>
    </w:p>
    <w:p w14:paraId="52CA821F" w14:textId="77777777" w:rsidR="000D22CB" w:rsidRDefault="00A64362">
      <w:pPr>
        <w:numPr>
          <w:ilvl w:val="0"/>
          <w:numId w:val="1"/>
        </w:numPr>
        <w:spacing w:after="4" w:line="250" w:lineRule="auto"/>
        <w:ind w:right="971" w:hanging="360"/>
      </w:pPr>
      <w:r>
        <w:rPr>
          <w:rFonts w:ascii="Lato" w:eastAsia="Lato" w:hAnsi="Lato" w:cs="Lato"/>
          <w:sz w:val="27"/>
        </w:rPr>
        <w:t xml:space="preserve">Sun </w:t>
      </w:r>
      <w:r>
        <w:rPr>
          <w:rFonts w:ascii="Lato" w:eastAsia="Lato" w:hAnsi="Lato" w:cs="Lato"/>
          <w:i/>
          <w:sz w:val="27"/>
        </w:rPr>
        <w:t>et al</w:t>
      </w:r>
      <w:r>
        <w:rPr>
          <w:rFonts w:ascii="Lato" w:eastAsia="Lato" w:hAnsi="Lato" w:cs="Lato"/>
          <w:sz w:val="27"/>
        </w:rPr>
        <w:t xml:space="preserve">., (2022) stated that moderate to heavy drinkers have an increased risk of falls compared to people who have never drank alcohol. Compared to never-drinkers, former drinkers have an increased risk of falls. </w:t>
      </w:r>
    </w:p>
    <w:p w14:paraId="3DEEBA86" w14:textId="77777777" w:rsidR="000D22CB" w:rsidRDefault="00A64362">
      <w:pPr>
        <w:spacing w:after="0"/>
      </w:pPr>
      <w:r>
        <w:rPr>
          <w:rFonts w:ascii="Lato" w:eastAsia="Lato" w:hAnsi="Lato" w:cs="Lato"/>
          <w:sz w:val="27"/>
        </w:rPr>
        <w:lastRenderedPageBreak/>
        <w:t xml:space="preserve"> </w:t>
      </w:r>
    </w:p>
    <w:p w14:paraId="0A7689AA" w14:textId="14B30266" w:rsidR="000D22CB" w:rsidRDefault="00A64362">
      <w:pPr>
        <w:numPr>
          <w:ilvl w:val="0"/>
          <w:numId w:val="1"/>
        </w:numPr>
        <w:spacing w:after="4" w:line="250" w:lineRule="auto"/>
        <w:ind w:right="971" w:hanging="360"/>
      </w:pPr>
      <w:r>
        <w:rPr>
          <w:rFonts w:ascii="Lato" w:eastAsia="Lato" w:hAnsi="Lato" w:cs="Lato"/>
          <w:sz w:val="27"/>
        </w:rPr>
        <w:t>Falls linked to alcohol are both dose-dependent (acute intoxication) (</w:t>
      </w:r>
      <w:proofErr w:type="spellStart"/>
      <w:r>
        <w:rPr>
          <w:rFonts w:ascii="Lato" w:eastAsia="Lato" w:hAnsi="Lato" w:cs="Lato"/>
          <w:sz w:val="27"/>
        </w:rPr>
        <w:t>Cherpitel</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2014; Taylor </w:t>
      </w:r>
      <w:r>
        <w:rPr>
          <w:rFonts w:ascii="Lato" w:eastAsia="Lato" w:hAnsi="Lato" w:cs="Lato"/>
          <w:i/>
          <w:sz w:val="27"/>
        </w:rPr>
        <w:t>et al</w:t>
      </w:r>
      <w:r>
        <w:rPr>
          <w:rFonts w:ascii="Lato" w:eastAsia="Lato" w:hAnsi="Lato" w:cs="Lato"/>
          <w:sz w:val="27"/>
        </w:rPr>
        <w:t>., 2010) and cumulative damage due to chronic exposure to alcohol over the years (Ambrose, Cruz, and Paul, 2015)</w:t>
      </w:r>
      <w:r w:rsidR="00D30E17">
        <w:rPr>
          <w:rFonts w:ascii="Lato" w:eastAsia="Lato" w:hAnsi="Lato" w:cs="Lato"/>
          <w:sz w:val="27"/>
        </w:rPr>
        <w:t xml:space="preserve">. </w:t>
      </w:r>
    </w:p>
    <w:p w14:paraId="008BF037" w14:textId="77777777" w:rsidR="000D22CB" w:rsidRDefault="00A64362">
      <w:pPr>
        <w:spacing w:after="0"/>
      </w:pPr>
      <w:r>
        <w:rPr>
          <w:rFonts w:ascii="Lato" w:eastAsia="Lato" w:hAnsi="Lato" w:cs="Lato"/>
          <w:sz w:val="27"/>
        </w:rPr>
        <w:t xml:space="preserve"> </w:t>
      </w:r>
    </w:p>
    <w:p w14:paraId="138B1CF7" w14:textId="77777777" w:rsidR="000D22CB" w:rsidRDefault="00A64362">
      <w:pPr>
        <w:spacing w:after="0"/>
      </w:pPr>
      <w:r>
        <w:rPr>
          <w:rFonts w:ascii="Lato" w:eastAsia="Lato" w:hAnsi="Lato" w:cs="Lato"/>
          <w:sz w:val="27"/>
        </w:rPr>
        <w:t xml:space="preserve"> </w:t>
      </w:r>
    </w:p>
    <w:p w14:paraId="5AE2DEEF" w14:textId="77777777" w:rsidR="000D22CB" w:rsidRDefault="00A64362">
      <w:pPr>
        <w:spacing w:after="0"/>
      </w:pPr>
      <w:r>
        <w:rPr>
          <w:rFonts w:ascii="Lato" w:eastAsia="Lato" w:hAnsi="Lato" w:cs="Lato"/>
          <w:sz w:val="27"/>
        </w:rPr>
        <w:t xml:space="preserve"> </w:t>
      </w:r>
    </w:p>
    <w:p w14:paraId="4C8F6CCC" w14:textId="5553B7B5" w:rsidR="000D22CB" w:rsidRDefault="00A64362">
      <w:pPr>
        <w:spacing w:after="4" w:line="250" w:lineRule="auto"/>
        <w:ind w:right="971"/>
      </w:pPr>
      <w:r>
        <w:rPr>
          <w:rFonts w:ascii="Lato" w:eastAsia="Lato" w:hAnsi="Lato" w:cs="Lato"/>
          <w:sz w:val="27"/>
        </w:rPr>
        <w:t>Figure 1: The dose-response association between alcohol use and the 3</w:t>
      </w:r>
      <w:r w:rsidR="008E6234">
        <w:rPr>
          <w:rFonts w:ascii="Lato" w:eastAsia="Lato" w:hAnsi="Lato" w:cs="Lato"/>
          <w:sz w:val="27"/>
        </w:rPr>
        <w:t>-</w:t>
      </w:r>
      <w:r>
        <w:rPr>
          <w:rFonts w:ascii="Lato" w:eastAsia="Lato" w:hAnsi="Lato" w:cs="Lato"/>
          <w:sz w:val="27"/>
        </w:rPr>
        <w:t xml:space="preserve">year risk of falls among middle-aged and older individuals is described by odds ratios and related 95% confidence intervals. </w:t>
      </w:r>
    </w:p>
    <w:p w14:paraId="354DBAE8" w14:textId="77777777" w:rsidR="000D22CB" w:rsidRDefault="00A64362">
      <w:pPr>
        <w:spacing w:after="4" w:line="250" w:lineRule="auto"/>
        <w:ind w:right="971"/>
      </w:pPr>
      <w:r>
        <w:rPr>
          <w:rFonts w:ascii="Lato" w:eastAsia="Lato" w:hAnsi="Lato" w:cs="Lato"/>
          <w:sz w:val="27"/>
        </w:rPr>
        <w:t xml:space="preserve"> (Sun </w:t>
      </w:r>
      <w:r>
        <w:rPr>
          <w:rFonts w:ascii="Lato" w:eastAsia="Lato" w:hAnsi="Lato" w:cs="Lato"/>
          <w:i/>
          <w:sz w:val="27"/>
        </w:rPr>
        <w:t>et al.,</w:t>
      </w:r>
      <w:r>
        <w:rPr>
          <w:rFonts w:ascii="Lato" w:eastAsia="Lato" w:hAnsi="Lato" w:cs="Lato"/>
          <w:sz w:val="27"/>
        </w:rPr>
        <w:t xml:space="preserve"> 2022). </w:t>
      </w:r>
    </w:p>
    <w:p w14:paraId="0208263C" w14:textId="77777777" w:rsidR="000D22CB" w:rsidRDefault="00A64362">
      <w:pPr>
        <w:spacing w:after="0"/>
      </w:pPr>
      <w:r>
        <w:rPr>
          <w:rFonts w:ascii="Lato" w:eastAsia="Lato" w:hAnsi="Lato" w:cs="Lato"/>
          <w:sz w:val="27"/>
        </w:rPr>
        <w:t xml:space="preserve"> </w:t>
      </w:r>
    </w:p>
    <w:p w14:paraId="0DAF7802" w14:textId="77777777" w:rsidR="000D22CB" w:rsidRDefault="00A64362">
      <w:pPr>
        <w:spacing w:after="0"/>
      </w:pPr>
      <w:r>
        <w:rPr>
          <w:rFonts w:ascii="Lato" w:eastAsia="Lato" w:hAnsi="Lato" w:cs="Lato"/>
          <w:sz w:val="27"/>
        </w:rPr>
        <w:t xml:space="preserve"> </w:t>
      </w:r>
    </w:p>
    <w:p w14:paraId="1F9B9EA7" w14:textId="77777777" w:rsidR="000D22CB" w:rsidRDefault="00A64362">
      <w:pPr>
        <w:spacing w:after="0"/>
      </w:pPr>
      <w:r>
        <w:rPr>
          <w:rFonts w:ascii="Lato" w:eastAsia="Lato" w:hAnsi="Lato" w:cs="Lato"/>
          <w:sz w:val="27"/>
        </w:rPr>
        <w:t xml:space="preserve"> </w:t>
      </w:r>
    </w:p>
    <w:p w14:paraId="30222072" w14:textId="77777777" w:rsidR="000D22CB" w:rsidRDefault="00A64362">
      <w:pPr>
        <w:spacing w:after="0"/>
        <w:ind w:right="1560"/>
        <w:jc w:val="right"/>
      </w:pPr>
      <w:r>
        <w:rPr>
          <w:noProof/>
        </w:rPr>
        <w:drawing>
          <wp:inline distT="0" distB="0" distL="0" distR="0" wp14:anchorId="5885EBCB" wp14:editId="24B3B658">
            <wp:extent cx="5310260" cy="4610735"/>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8"/>
                    <a:stretch>
                      <a:fillRect/>
                    </a:stretch>
                  </pic:blipFill>
                  <pic:spPr>
                    <a:xfrm>
                      <a:off x="0" y="0"/>
                      <a:ext cx="5310260" cy="4610735"/>
                    </a:xfrm>
                    <a:prstGeom prst="rect">
                      <a:avLst/>
                    </a:prstGeom>
                  </pic:spPr>
                </pic:pic>
              </a:graphicData>
            </a:graphic>
          </wp:inline>
        </w:drawing>
      </w:r>
      <w:r>
        <w:rPr>
          <w:rFonts w:ascii="Lato" w:eastAsia="Lato" w:hAnsi="Lato" w:cs="Lato"/>
          <w:sz w:val="27"/>
        </w:rPr>
        <w:t xml:space="preserve"> </w:t>
      </w:r>
    </w:p>
    <w:p w14:paraId="4BC93093" w14:textId="77777777" w:rsidR="00756463" w:rsidRDefault="00756463">
      <w:pPr>
        <w:spacing w:after="0"/>
        <w:rPr>
          <w:rFonts w:ascii="Lato" w:eastAsia="Lato" w:hAnsi="Lato" w:cs="Lato"/>
          <w:sz w:val="27"/>
        </w:rPr>
      </w:pPr>
    </w:p>
    <w:p w14:paraId="6B75EAF6" w14:textId="77777777" w:rsidR="00D30E17" w:rsidRDefault="00D30E17">
      <w:pPr>
        <w:spacing w:after="0"/>
        <w:ind w:left="-5" w:hanging="10"/>
        <w:rPr>
          <w:rFonts w:ascii="Lato" w:eastAsia="Lato" w:hAnsi="Lato" w:cs="Lato"/>
          <w:sz w:val="27"/>
        </w:rPr>
      </w:pPr>
    </w:p>
    <w:p w14:paraId="66143968" w14:textId="77777777" w:rsidR="00D30E17" w:rsidRDefault="00D30E17">
      <w:pPr>
        <w:spacing w:after="0"/>
        <w:ind w:left="-5" w:hanging="10"/>
        <w:rPr>
          <w:rFonts w:ascii="Lato" w:eastAsia="Lato" w:hAnsi="Lato" w:cs="Lato"/>
          <w:sz w:val="27"/>
        </w:rPr>
      </w:pPr>
    </w:p>
    <w:p w14:paraId="37A50522" w14:textId="25C3DD79" w:rsidR="000D22CB" w:rsidRDefault="00A64362">
      <w:pPr>
        <w:spacing w:after="0"/>
        <w:ind w:left="-5" w:hanging="10"/>
      </w:pPr>
      <w:r>
        <w:rPr>
          <w:rFonts w:ascii="Lato" w:eastAsia="Lato" w:hAnsi="Lato" w:cs="Lato"/>
          <w:color w:val="4471C4"/>
          <w:sz w:val="27"/>
        </w:rPr>
        <w:t xml:space="preserve">Age. </w:t>
      </w:r>
    </w:p>
    <w:p w14:paraId="50C2CD61" w14:textId="77777777" w:rsidR="000D22CB" w:rsidRDefault="00A64362">
      <w:pPr>
        <w:spacing w:after="0"/>
      </w:pPr>
      <w:r>
        <w:rPr>
          <w:rFonts w:ascii="Lato" w:eastAsia="Lato" w:hAnsi="Lato" w:cs="Lato"/>
          <w:sz w:val="27"/>
        </w:rPr>
        <w:t xml:space="preserve"> </w:t>
      </w:r>
    </w:p>
    <w:p w14:paraId="5C4DEEE2" w14:textId="028C5327" w:rsidR="000D22CB" w:rsidRDefault="00A64362">
      <w:pPr>
        <w:numPr>
          <w:ilvl w:val="0"/>
          <w:numId w:val="1"/>
        </w:numPr>
        <w:spacing w:after="4" w:line="250" w:lineRule="auto"/>
        <w:ind w:right="971" w:hanging="360"/>
      </w:pPr>
      <w:r>
        <w:rPr>
          <w:rFonts w:ascii="Lato" w:eastAsia="Lato" w:hAnsi="Lato" w:cs="Lato"/>
          <w:sz w:val="27"/>
        </w:rPr>
        <w:lastRenderedPageBreak/>
        <w:t>Alcohol consumption and its link to falls is dependent on age, most prevalent among the 20-24 age group (Woods, Jones, and Usher, 2019)</w:t>
      </w:r>
      <w:r w:rsidR="00D30E17">
        <w:rPr>
          <w:rFonts w:ascii="Lato" w:eastAsia="Lato" w:hAnsi="Lato" w:cs="Lato"/>
          <w:sz w:val="27"/>
        </w:rPr>
        <w:t xml:space="preserve">. </w:t>
      </w:r>
    </w:p>
    <w:p w14:paraId="34D23C7A" w14:textId="77777777" w:rsidR="000D22CB" w:rsidRDefault="00A64362">
      <w:pPr>
        <w:spacing w:after="0"/>
      </w:pPr>
      <w:r>
        <w:rPr>
          <w:rFonts w:ascii="Lato" w:eastAsia="Lato" w:hAnsi="Lato" w:cs="Lato"/>
          <w:sz w:val="27"/>
        </w:rPr>
        <w:t xml:space="preserve"> </w:t>
      </w:r>
    </w:p>
    <w:p w14:paraId="0066EF23" w14:textId="77777777" w:rsidR="000D22CB" w:rsidRDefault="00A64362">
      <w:pPr>
        <w:numPr>
          <w:ilvl w:val="0"/>
          <w:numId w:val="1"/>
        </w:numPr>
        <w:spacing w:after="4" w:line="250" w:lineRule="auto"/>
        <w:ind w:right="971" w:hanging="360"/>
      </w:pPr>
      <w:r>
        <w:rPr>
          <w:rFonts w:ascii="Lato" w:eastAsia="Lato" w:hAnsi="Lato" w:cs="Lato"/>
          <w:sz w:val="27"/>
        </w:rPr>
        <w:t>Alcohol is a strong indicator of falls among the elderly (</w:t>
      </w:r>
      <w:proofErr w:type="spellStart"/>
      <w:r>
        <w:rPr>
          <w:rFonts w:ascii="Lato" w:eastAsia="Lato" w:hAnsi="Lato" w:cs="Lato"/>
          <w:sz w:val="27"/>
        </w:rPr>
        <w:t>Grundstrom</w:t>
      </w:r>
      <w:proofErr w:type="spellEnd"/>
      <w:r>
        <w:rPr>
          <w:rFonts w:ascii="Lato" w:eastAsia="Lato" w:hAnsi="Lato" w:cs="Lato"/>
          <w:sz w:val="27"/>
        </w:rPr>
        <w:t xml:space="preserve">, Guse and </w:t>
      </w:r>
      <w:proofErr w:type="spellStart"/>
      <w:r>
        <w:rPr>
          <w:rFonts w:ascii="Lato" w:eastAsia="Lato" w:hAnsi="Lato" w:cs="Lato"/>
          <w:sz w:val="27"/>
        </w:rPr>
        <w:t>Layde</w:t>
      </w:r>
      <w:proofErr w:type="spellEnd"/>
      <w:r>
        <w:rPr>
          <w:rFonts w:ascii="Lato" w:eastAsia="Lato" w:hAnsi="Lato" w:cs="Lato"/>
          <w:sz w:val="27"/>
        </w:rPr>
        <w:t xml:space="preserve">, 2012; Chang and Do, 2015). </w:t>
      </w:r>
    </w:p>
    <w:p w14:paraId="07F0CAE4" w14:textId="77777777" w:rsidR="000D22CB" w:rsidRDefault="00A64362">
      <w:pPr>
        <w:spacing w:after="0"/>
        <w:ind w:left="720"/>
      </w:pPr>
      <w:r>
        <w:rPr>
          <w:rFonts w:ascii="Lato" w:eastAsia="Lato" w:hAnsi="Lato" w:cs="Lato"/>
          <w:sz w:val="27"/>
        </w:rPr>
        <w:t xml:space="preserve"> </w:t>
      </w:r>
    </w:p>
    <w:p w14:paraId="3BA430A5" w14:textId="77777777" w:rsidR="000D22CB" w:rsidRDefault="00A64362">
      <w:pPr>
        <w:numPr>
          <w:ilvl w:val="0"/>
          <w:numId w:val="1"/>
        </w:numPr>
        <w:spacing w:after="4" w:line="250" w:lineRule="auto"/>
        <w:ind w:right="971" w:hanging="360"/>
      </w:pPr>
      <w:r>
        <w:rPr>
          <w:rFonts w:ascii="Lato" w:eastAsia="Lato" w:hAnsi="Lato" w:cs="Lato"/>
          <w:sz w:val="27"/>
        </w:rPr>
        <w:t xml:space="preserve">Younger populations (20-29 years) are more prone to alcohol-related falls (Hides </w:t>
      </w:r>
      <w:r>
        <w:rPr>
          <w:rFonts w:ascii="Lato" w:eastAsia="Lato" w:hAnsi="Lato" w:cs="Lato"/>
          <w:i/>
          <w:sz w:val="27"/>
        </w:rPr>
        <w:t>et al.,</w:t>
      </w:r>
      <w:r>
        <w:rPr>
          <w:rFonts w:ascii="Lato" w:eastAsia="Lato" w:hAnsi="Lato" w:cs="Lato"/>
          <w:sz w:val="27"/>
        </w:rPr>
        <w:t xml:space="preserve"> 2014). </w:t>
      </w:r>
    </w:p>
    <w:p w14:paraId="24EB0B6A" w14:textId="77777777" w:rsidR="000D22CB" w:rsidRDefault="00A64362">
      <w:pPr>
        <w:spacing w:after="0"/>
      </w:pPr>
      <w:r>
        <w:rPr>
          <w:rFonts w:ascii="Lato" w:eastAsia="Lato" w:hAnsi="Lato" w:cs="Lato"/>
          <w:sz w:val="27"/>
        </w:rPr>
        <w:t xml:space="preserve"> </w:t>
      </w:r>
    </w:p>
    <w:p w14:paraId="6821B81F" w14:textId="77777777" w:rsidR="000D22CB" w:rsidRDefault="00A64362">
      <w:pPr>
        <w:numPr>
          <w:ilvl w:val="0"/>
          <w:numId w:val="1"/>
        </w:numPr>
        <w:spacing w:after="4" w:line="250" w:lineRule="auto"/>
        <w:ind w:right="971" w:hanging="360"/>
      </w:pPr>
      <w:r>
        <w:rPr>
          <w:rFonts w:ascii="Lato" w:eastAsia="Lato" w:hAnsi="Lato" w:cs="Lato"/>
          <w:sz w:val="27"/>
        </w:rPr>
        <w:t xml:space="preserve">Alcohol has been linked to fall-related emergency visits in populations aged over 65 (Shakya </w:t>
      </w:r>
      <w:r>
        <w:rPr>
          <w:rFonts w:ascii="Lato" w:eastAsia="Lato" w:hAnsi="Lato" w:cs="Lato"/>
          <w:i/>
          <w:sz w:val="27"/>
        </w:rPr>
        <w:t>et al</w:t>
      </w:r>
      <w:r>
        <w:rPr>
          <w:rFonts w:ascii="Lato" w:eastAsia="Lato" w:hAnsi="Lato" w:cs="Lato"/>
          <w:sz w:val="27"/>
        </w:rPr>
        <w:t xml:space="preserve">., 2020). </w:t>
      </w:r>
    </w:p>
    <w:p w14:paraId="70A17C90" w14:textId="77777777" w:rsidR="000D22CB" w:rsidRDefault="00A64362">
      <w:pPr>
        <w:spacing w:after="0"/>
      </w:pPr>
      <w:r>
        <w:rPr>
          <w:rFonts w:ascii="Lato" w:eastAsia="Lato" w:hAnsi="Lato" w:cs="Lato"/>
          <w:sz w:val="27"/>
        </w:rPr>
        <w:t xml:space="preserve"> </w:t>
      </w:r>
    </w:p>
    <w:p w14:paraId="7E349173" w14:textId="77777777" w:rsidR="000D22CB" w:rsidRDefault="00A64362">
      <w:pPr>
        <w:numPr>
          <w:ilvl w:val="0"/>
          <w:numId w:val="1"/>
        </w:numPr>
        <w:spacing w:after="4" w:line="250" w:lineRule="auto"/>
        <w:ind w:right="971" w:hanging="360"/>
      </w:pPr>
      <w:r>
        <w:rPr>
          <w:rFonts w:ascii="Lato" w:eastAsia="Lato" w:hAnsi="Lato" w:cs="Lato"/>
          <w:sz w:val="27"/>
        </w:rPr>
        <w:t xml:space="preserve">Emergency department visits indicating alcohol usage decreases with advancing age; 4.1% for 65-75 years, 1.5% for 75-84 years and &lt;1% for 85+ years (Shakya </w:t>
      </w:r>
      <w:r>
        <w:rPr>
          <w:rFonts w:ascii="Lato" w:eastAsia="Lato" w:hAnsi="Lato" w:cs="Lato"/>
          <w:i/>
          <w:sz w:val="27"/>
        </w:rPr>
        <w:t>et al</w:t>
      </w:r>
      <w:r>
        <w:rPr>
          <w:rFonts w:ascii="Lato" w:eastAsia="Lato" w:hAnsi="Lato" w:cs="Lato"/>
          <w:sz w:val="27"/>
        </w:rPr>
        <w:t xml:space="preserve">., 2020). </w:t>
      </w:r>
    </w:p>
    <w:p w14:paraId="41BCF39F" w14:textId="77777777" w:rsidR="000D22CB" w:rsidRDefault="00A64362">
      <w:pPr>
        <w:spacing w:after="0"/>
      </w:pPr>
      <w:r>
        <w:rPr>
          <w:rFonts w:ascii="Lato" w:eastAsia="Lato" w:hAnsi="Lato" w:cs="Lato"/>
          <w:sz w:val="27"/>
        </w:rPr>
        <w:t xml:space="preserve"> </w:t>
      </w:r>
    </w:p>
    <w:p w14:paraId="08DAE492" w14:textId="0812426B" w:rsidR="000D22CB" w:rsidRDefault="008E6234">
      <w:pPr>
        <w:numPr>
          <w:ilvl w:val="0"/>
          <w:numId w:val="1"/>
        </w:numPr>
        <w:spacing w:after="4" w:line="250" w:lineRule="auto"/>
        <w:ind w:right="971" w:hanging="360"/>
      </w:pPr>
      <w:r>
        <w:rPr>
          <w:rFonts w:ascii="Lato" w:eastAsia="Lato" w:hAnsi="Lato" w:cs="Lato"/>
          <w:sz w:val="27"/>
        </w:rPr>
        <w:t>The p</w:t>
      </w:r>
      <w:r w:rsidR="00A64362">
        <w:rPr>
          <w:rFonts w:ascii="Lato" w:eastAsia="Lato" w:hAnsi="Lato" w:cs="Lato"/>
          <w:sz w:val="27"/>
        </w:rPr>
        <w:t>opulation aged 65 and over is more prone to falls due to the dose</w:t>
      </w:r>
      <w:r>
        <w:rPr>
          <w:rFonts w:ascii="Lato" w:eastAsia="Lato" w:hAnsi="Lato" w:cs="Lato"/>
          <w:sz w:val="27"/>
        </w:rPr>
        <w:t>-</w:t>
      </w:r>
      <w:r w:rsidR="00A64362">
        <w:rPr>
          <w:rFonts w:ascii="Lato" w:eastAsia="Lato" w:hAnsi="Lato" w:cs="Lato"/>
          <w:sz w:val="27"/>
        </w:rPr>
        <w:t xml:space="preserve">effect relationship and reduced metabolic activities in the body due to chronic exposure and age (Woods, Jones, and Usher, 2019). </w:t>
      </w:r>
    </w:p>
    <w:p w14:paraId="507F654B" w14:textId="77777777" w:rsidR="000D22CB" w:rsidRDefault="00A64362">
      <w:pPr>
        <w:spacing w:after="0"/>
      </w:pPr>
      <w:r>
        <w:rPr>
          <w:rFonts w:ascii="Lato" w:eastAsia="Lato" w:hAnsi="Lato" w:cs="Lato"/>
          <w:sz w:val="27"/>
        </w:rPr>
        <w:t xml:space="preserve"> </w:t>
      </w:r>
    </w:p>
    <w:p w14:paraId="425DC730" w14:textId="77777777" w:rsidR="000D22CB" w:rsidRDefault="00A64362">
      <w:pPr>
        <w:numPr>
          <w:ilvl w:val="0"/>
          <w:numId w:val="1"/>
        </w:numPr>
        <w:spacing w:after="4" w:line="250" w:lineRule="auto"/>
        <w:ind w:right="971" w:hanging="360"/>
      </w:pPr>
      <w:r>
        <w:rPr>
          <w:rFonts w:ascii="Lato" w:eastAsia="Lato" w:hAnsi="Lato" w:cs="Lato"/>
          <w:sz w:val="27"/>
        </w:rPr>
        <w:t xml:space="preserve">For the working-age population (15-64 years) visiting emergency departments, fall-related injuries were twice as likely associated with alcohol use (adjusted odds ratio of 2.3) (Akshaya and </w:t>
      </w:r>
      <w:proofErr w:type="spellStart"/>
      <w:r>
        <w:rPr>
          <w:rFonts w:ascii="Lato" w:eastAsia="Lato" w:hAnsi="Lato" w:cs="Lato"/>
          <w:sz w:val="27"/>
        </w:rPr>
        <w:t>Aldhaleei</w:t>
      </w:r>
      <w:proofErr w:type="spellEnd"/>
      <w:r>
        <w:rPr>
          <w:rFonts w:ascii="Lato" w:eastAsia="Lato" w:hAnsi="Lato" w:cs="Lato"/>
          <w:sz w:val="27"/>
        </w:rPr>
        <w:t xml:space="preserve">, 2024). </w:t>
      </w:r>
    </w:p>
    <w:p w14:paraId="22AF4738" w14:textId="77777777" w:rsidR="000D22CB" w:rsidRDefault="00A64362">
      <w:pPr>
        <w:spacing w:after="0"/>
      </w:pPr>
      <w:r>
        <w:rPr>
          <w:rFonts w:ascii="Lato" w:eastAsia="Lato" w:hAnsi="Lato" w:cs="Lato"/>
          <w:sz w:val="27"/>
        </w:rPr>
        <w:t xml:space="preserve"> </w:t>
      </w:r>
    </w:p>
    <w:p w14:paraId="394BED76" w14:textId="36490904" w:rsidR="000D22CB" w:rsidRDefault="00A64362">
      <w:pPr>
        <w:numPr>
          <w:ilvl w:val="0"/>
          <w:numId w:val="1"/>
        </w:numPr>
        <w:spacing w:after="4" w:line="250" w:lineRule="auto"/>
        <w:ind w:right="971" w:hanging="360"/>
      </w:pPr>
      <w:r>
        <w:rPr>
          <w:rFonts w:ascii="Lato" w:eastAsia="Lato" w:hAnsi="Lato" w:cs="Lato"/>
          <w:sz w:val="27"/>
        </w:rPr>
        <w:t>Older population is more prone to falls but not specifically linked to alcohol (Woods, Jones, and Usher, 2019)</w:t>
      </w:r>
      <w:r w:rsidR="00D30E17">
        <w:rPr>
          <w:rFonts w:ascii="Lato" w:eastAsia="Lato" w:hAnsi="Lato" w:cs="Lato"/>
          <w:sz w:val="27"/>
        </w:rPr>
        <w:t xml:space="preserve">. </w:t>
      </w:r>
    </w:p>
    <w:p w14:paraId="30E19199" w14:textId="77777777" w:rsidR="000D22CB" w:rsidRDefault="00A64362">
      <w:pPr>
        <w:spacing w:after="0"/>
      </w:pPr>
      <w:r>
        <w:rPr>
          <w:rFonts w:ascii="Lato" w:eastAsia="Lato" w:hAnsi="Lato" w:cs="Lato"/>
          <w:sz w:val="27"/>
        </w:rPr>
        <w:t xml:space="preserve"> </w:t>
      </w:r>
    </w:p>
    <w:p w14:paraId="589B6A3B" w14:textId="77777777" w:rsidR="000D22CB" w:rsidRDefault="00A64362">
      <w:pPr>
        <w:spacing w:after="0"/>
      </w:pPr>
      <w:r>
        <w:rPr>
          <w:rFonts w:ascii="Lato" w:eastAsia="Lato" w:hAnsi="Lato" w:cs="Lato"/>
          <w:sz w:val="27"/>
        </w:rPr>
        <w:t xml:space="preserve"> </w:t>
      </w:r>
    </w:p>
    <w:p w14:paraId="5D47367E" w14:textId="77777777" w:rsidR="000D22CB" w:rsidRDefault="00A64362">
      <w:pPr>
        <w:spacing w:after="0"/>
      </w:pPr>
      <w:r>
        <w:rPr>
          <w:rFonts w:ascii="Lato" w:eastAsia="Lato" w:hAnsi="Lato" w:cs="Lato"/>
          <w:sz w:val="27"/>
        </w:rPr>
        <w:t xml:space="preserve"> </w:t>
      </w:r>
    </w:p>
    <w:p w14:paraId="1002708B" w14:textId="77777777" w:rsidR="000D22CB" w:rsidRDefault="00A64362">
      <w:pPr>
        <w:spacing w:after="0"/>
      </w:pPr>
      <w:r>
        <w:rPr>
          <w:rFonts w:ascii="Lato" w:eastAsia="Lato" w:hAnsi="Lato" w:cs="Lato"/>
          <w:sz w:val="27"/>
        </w:rPr>
        <w:t xml:space="preserve"> </w:t>
      </w:r>
    </w:p>
    <w:p w14:paraId="48A44622" w14:textId="77777777" w:rsidR="000D22CB" w:rsidRDefault="00A64362">
      <w:pPr>
        <w:spacing w:after="0"/>
      </w:pPr>
      <w:r>
        <w:rPr>
          <w:rFonts w:ascii="Lato" w:eastAsia="Lato" w:hAnsi="Lato" w:cs="Lato"/>
          <w:sz w:val="27"/>
        </w:rPr>
        <w:t xml:space="preserve"> </w:t>
      </w:r>
    </w:p>
    <w:p w14:paraId="612364AF" w14:textId="77777777" w:rsidR="000D22CB" w:rsidRDefault="00A64362">
      <w:pPr>
        <w:spacing w:after="0"/>
      </w:pPr>
      <w:r>
        <w:rPr>
          <w:rFonts w:ascii="Lato" w:eastAsia="Lato" w:hAnsi="Lato" w:cs="Lato"/>
          <w:sz w:val="27"/>
        </w:rPr>
        <w:t xml:space="preserve"> </w:t>
      </w:r>
    </w:p>
    <w:p w14:paraId="25DA81B7" w14:textId="77777777" w:rsidR="000D22CB" w:rsidRDefault="00A64362">
      <w:pPr>
        <w:spacing w:after="0"/>
      </w:pPr>
      <w:r>
        <w:rPr>
          <w:rFonts w:ascii="Lato" w:eastAsia="Lato" w:hAnsi="Lato" w:cs="Lato"/>
          <w:sz w:val="27"/>
        </w:rPr>
        <w:t xml:space="preserve"> </w:t>
      </w:r>
    </w:p>
    <w:p w14:paraId="4AAF11C9" w14:textId="77777777" w:rsidR="000D22CB" w:rsidRDefault="00A64362">
      <w:pPr>
        <w:spacing w:after="0"/>
      </w:pPr>
      <w:r>
        <w:rPr>
          <w:rFonts w:ascii="Lato" w:eastAsia="Lato" w:hAnsi="Lato" w:cs="Lato"/>
          <w:sz w:val="27"/>
        </w:rPr>
        <w:t xml:space="preserve"> </w:t>
      </w:r>
    </w:p>
    <w:p w14:paraId="394A30B9" w14:textId="77777777" w:rsidR="000D22CB" w:rsidRDefault="00A64362">
      <w:pPr>
        <w:spacing w:after="0"/>
      </w:pPr>
      <w:r>
        <w:rPr>
          <w:rFonts w:ascii="Lato" w:eastAsia="Lato" w:hAnsi="Lato" w:cs="Lato"/>
          <w:sz w:val="27"/>
        </w:rPr>
        <w:t xml:space="preserve"> </w:t>
      </w:r>
    </w:p>
    <w:p w14:paraId="6E3C07D7" w14:textId="77777777" w:rsidR="000D22CB" w:rsidRDefault="00A64362">
      <w:pPr>
        <w:spacing w:after="0"/>
      </w:pPr>
      <w:r>
        <w:rPr>
          <w:rFonts w:ascii="Lato" w:eastAsia="Lato" w:hAnsi="Lato" w:cs="Lato"/>
          <w:sz w:val="27"/>
        </w:rPr>
        <w:t xml:space="preserve"> </w:t>
      </w:r>
    </w:p>
    <w:p w14:paraId="1005ACC2" w14:textId="77777777" w:rsidR="000D22CB" w:rsidRDefault="00A64362">
      <w:pPr>
        <w:spacing w:after="0"/>
        <w:rPr>
          <w:rFonts w:ascii="Lato" w:eastAsia="Lato" w:hAnsi="Lato" w:cs="Lato"/>
          <w:sz w:val="27"/>
        </w:rPr>
      </w:pPr>
      <w:r>
        <w:rPr>
          <w:rFonts w:ascii="Lato" w:eastAsia="Lato" w:hAnsi="Lato" w:cs="Lato"/>
          <w:sz w:val="27"/>
        </w:rPr>
        <w:t xml:space="preserve"> </w:t>
      </w:r>
    </w:p>
    <w:p w14:paraId="7D18AE7F" w14:textId="77777777" w:rsidR="00756463" w:rsidRDefault="00756463">
      <w:pPr>
        <w:spacing w:after="0"/>
      </w:pPr>
    </w:p>
    <w:p w14:paraId="44C1464C" w14:textId="77777777" w:rsidR="000D22CB" w:rsidRDefault="00A64362">
      <w:pPr>
        <w:spacing w:after="0"/>
      </w:pPr>
      <w:r>
        <w:rPr>
          <w:rFonts w:ascii="Lato" w:eastAsia="Lato" w:hAnsi="Lato" w:cs="Lato"/>
          <w:sz w:val="24"/>
        </w:rPr>
        <w:t xml:space="preserve"> </w:t>
      </w:r>
    </w:p>
    <w:p w14:paraId="45B2B7D0" w14:textId="77777777" w:rsidR="000D22CB" w:rsidRDefault="00A64362">
      <w:pPr>
        <w:spacing w:after="4" w:line="250" w:lineRule="auto"/>
        <w:ind w:right="971"/>
      </w:pPr>
      <w:r>
        <w:rPr>
          <w:rFonts w:ascii="Lato" w:eastAsia="Lato" w:hAnsi="Lato" w:cs="Lato"/>
          <w:sz w:val="27"/>
        </w:rPr>
        <w:t xml:space="preserve">Figure 2: Comparison of alcohol and non-alcohol-related fall presentations by age group (Woods, Jones, and Usher, 2019). </w:t>
      </w:r>
    </w:p>
    <w:p w14:paraId="7442771C" w14:textId="77777777" w:rsidR="000D22CB" w:rsidRDefault="00A64362">
      <w:pPr>
        <w:spacing w:after="0"/>
      </w:pPr>
      <w:r>
        <w:rPr>
          <w:rFonts w:ascii="Lato" w:eastAsia="Lato" w:hAnsi="Lato" w:cs="Lato"/>
          <w:sz w:val="27"/>
        </w:rPr>
        <w:t xml:space="preserve"> </w:t>
      </w:r>
    </w:p>
    <w:p w14:paraId="34E05121" w14:textId="77777777" w:rsidR="000D22CB" w:rsidRDefault="00A64362">
      <w:pPr>
        <w:spacing w:after="0"/>
        <w:ind w:right="1286"/>
        <w:jc w:val="right"/>
      </w:pPr>
      <w:r>
        <w:rPr>
          <w:noProof/>
        </w:rPr>
        <w:lastRenderedPageBreak/>
        <w:drawing>
          <wp:inline distT="0" distB="0" distL="0" distR="0" wp14:anchorId="1D672184" wp14:editId="187D8CBD">
            <wp:extent cx="5478145" cy="2957666"/>
            <wp:effectExtent l="0" t="0" r="0" b="0"/>
            <wp:docPr id="963" name="Picture 963"/>
            <wp:cNvGraphicFramePr/>
            <a:graphic xmlns:a="http://schemas.openxmlformats.org/drawingml/2006/main">
              <a:graphicData uri="http://schemas.openxmlformats.org/drawingml/2006/picture">
                <pic:pic xmlns:pic="http://schemas.openxmlformats.org/drawingml/2006/picture">
                  <pic:nvPicPr>
                    <pic:cNvPr id="963" name="Picture 963"/>
                    <pic:cNvPicPr/>
                  </pic:nvPicPr>
                  <pic:blipFill>
                    <a:blip r:embed="rId9"/>
                    <a:stretch>
                      <a:fillRect/>
                    </a:stretch>
                  </pic:blipFill>
                  <pic:spPr>
                    <a:xfrm>
                      <a:off x="0" y="0"/>
                      <a:ext cx="5478145" cy="2957666"/>
                    </a:xfrm>
                    <a:prstGeom prst="rect">
                      <a:avLst/>
                    </a:prstGeom>
                  </pic:spPr>
                </pic:pic>
              </a:graphicData>
            </a:graphic>
          </wp:inline>
        </w:drawing>
      </w:r>
      <w:r>
        <w:rPr>
          <w:rFonts w:ascii="Lato" w:eastAsia="Lato" w:hAnsi="Lato" w:cs="Lato"/>
          <w:sz w:val="27"/>
        </w:rPr>
        <w:t xml:space="preserve"> </w:t>
      </w:r>
    </w:p>
    <w:p w14:paraId="1C951E4E" w14:textId="77777777" w:rsidR="000D22CB" w:rsidRDefault="00A64362">
      <w:pPr>
        <w:spacing w:after="0"/>
      </w:pPr>
      <w:r>
        <w:rPr>
          <w:rFonts w:ascii="Lato" w:eastAsia="Lato" w:hAnsi="Lato" w:cs="Lato"/>
          <w:sz w:val="27"/>
        </w:rPr>
        <w:t xml:space="preserve"> </w:t>
      </w:r>
    </w:p>
    <w:p w14:paraId="1FB85C79" w14:textId="77777777" w:rsidR="000D22CB" w:rsidRDefault="00A64362">
      <w:pPr>
        <w:spacing w:after="0"/>
        <w:ind w:left="-5" w:hanging="10"/>
      </w:pPr>
      <w:r>
        <w:rPr>
          <w:rFonts w:ascii="Lato" w:eastAsia="Lato" w:hAnsi="Lato" w:cs="Lato"/>
          <w:color w:val="4471C4"/>
          <w:sz w:val="27"/>
        </w:rPr>
        <w:t xml:space="preserve">Gender. </w:t>
      </w:r>
    </w:p>
    <w:p w14:paraId="7EC04207" w14:textId="77777777" w:rsidR="000D22CB" w:rsidRDefault="00A64362">
      <w:pPr>
        <w:spacing w:after="0"/>
      </w:pPr>
      <w:r>
        <w:rPr>
          <w:rFonts w:ascii="Lato" w:eastAsia="Lato" w:hAnsi="Lato" w:cs="Lato"/>
          <w:sz w:val="27"/>
        </w:rPr>
        <w:t xml:space="preserve"> </w:t>
      </w:r>
    </w:p>
    <w:p w14:paraId="30B20FF6" w14:textId="2E521AB5" w:rsidR="000D22CB" w:rsidRDefault="00A64362">
      <w:pPr>
        <w:numPr>
          <w:ilvl w:val="0"/>
          <w:numId w:val="1"/>
        </w:numPr>
        <w:spacing w:after="4" w:line="250" w:lineRule="auto"/>
        <w:ind w:right="971" w:hanging="360"/>
      </w:pPr>
      <w:r>
        <w:rPr>
          <w:rFonts w:ascii="Lato" w:eastAsia="Lato" w:hAnsi="Lato" w:cs="Lato"/>
          <w:sz w:val="27"/>
        </w:rPr>
        <w:t>Association between alcohol falls among the elderly and gender</w:t>
      </w:r>
      <w:r w:rsidR="008E6234">
        <w:rPr>
          <w:rFonts w:ascii="Lato" w:eastAsia="Lato" w:hAnsi="Lato" w:cs="Lato"/>
          <w:sz w:val="27"/>
        </w:rPr>
        <w:t>-</w:t>
      </w:r>
      <w:r>
        <w:rPr>
          <w:rFonts w:ascii="Lato" w:eastAsia="Lato" w:hAnsi="Lato" w:cs="Lato"/>
          <w:sz w:val="27"/>
        </w:rPr>
        <w:t>specific risk factors (Chang and Do, 2015)</w:t>
      </w:r>
      <w:r w:rsidR="00D30E17">
        <w:rPr>
          <w:rFonts w:ascii="Lato" w:eastAsia="Lato" w:hAnsi="Lato" w:cs="Lato"/>
          <w:sz w:val="27"/>
        </w:rPr>
        <w:t xml:space="preserve">. </w:t>
      </w:r>
    </w:p>
    <w:p w14:paraId="3A1B2F27" w14:textId="77777777" w:rsidR="000D22CB" w:rsidRDefault="00A64362">
      <w:pPr>
        <w:spacing w:after="0"/>
      </w:pPr>
      <w:r>
        <w:rPr>
          <w:rFonts w:ascii="Lato" w:eastAsia="Lato" w:hAnsi="Lato" w:cs="Lato"/>
          <w:sz w:val="27"/>
        </w:rPr>
        <w:t xml:space="preserve"> </w:t>
      </w:r>
    </w:p>
    <w:p w14:paraId="3FECBC64" w14:textId="5D7870AB" w:rsidR="000D22CB" w:rsidRDefault="00A64362">
      <w:pPr>
        <w:numPr>
          <w:ilvl w:val="0"/>
          <w:numId w:val="1"/>
        </w:numPr>
        <w:spacing w:after="4" w:line="250" w:lineRule="auto"/>
        <w:ind w:right="971" w:hanging="360"/>
      </w:pPr>
      <w:r>
        <w:rPr>
          <w:rFonts w:ascii="Lato" w:eastAsia="Lato" w:hAnsi="Lato" w:cs="Lato"/>
          <w:sz w:val="27"/>
        </w:rPr>
        <w:t>Gender should be considered when planning fall prevention strategies</w:t>
      </w:r>
      <w:r w:rsidR="00D30E17">
        <w:rPr>
          <w:rFonts w:ascii="Lato" w:eastAsia="Lato" w:hAnsi="Lato" w:cs="Lato"/>
          <w:sz w:val="27"/>
        </w:rPr>
        <w:t>,</w:t>
      </w:r>
      <w:r>
        <w:rPr>
          <w:rFonts w:ascii="Lato" w:eastAsia="Lato" w:hAnsi="Lato" w:cs="Lato"/>
          <w:sz w:val="27"/>
        </w:rPr>
        <w:t xml:space="preserve"> </w:t>
      </w:r>
      <w:r w:rsidR="00D30E17">
        <w:rPr>
          <w:rFonts w:ascii="Lato" w:eastAsia="Lato" w:hAnsi="Lato" w:cs="Lato"/>
          <w:sz w:val="27"/>
        </w:rPr>
        <w:t>as ther</w:t>
      </w:r>
      <w:r>
        <w:rPr>
          <w:rFonts w:ascii="Lato" w:eastAsia="Lato" w:hAnsi="Lato" w:cs="Lato"/>
          <w:sz w:val="27"/>
        </w:rPr>
        <w:t xml:space="preserve">e </w:t>
      </w:r>
      <w:r w:rsidR="00D30E17">
        <w:rPr>
          <w:rFonts w:ascii="Lato" w:eastAsia="Lato" w:hAnsi="Lato" w:cs="Lato"/>
          <w:sz w:val="27"/>
        </w:rPr>
        <w:t>are</w:t>
      </w:r>
      <w:r>
        <w:rPr>
          <w:rFonts w:ascii="Lato" w:eastAsia="Lato" w:hAnsi="Lato" w:cs="Lato"/>
          <w:sz w:val="27"/>
        </w:rPr>
        <w:t xml:space="preserve"> differences in aggravating and protective factors of falls among genders (Chang and Do, 2015). </w:t>
      </w:r>
    </w:p>
    <w:p w14:paraId="78041E45" w14:textId="77777777" w:rsidR="000D22CB" w:rsidRDefault="00A64362">
      <w:pPr>
        <w:spacing w:after="0"/>
      </w:pPr>
      <w:r>
        <w:rPr>
          <w:rFonts w:ascii="Lato" w:eastAsia="Lato" w:hAnsi="Lato" w:cs="Lato"/>
          <w:sz w:val="27"/>
        </w:rPr>
        <w:t xml:space="preserve"> </w:t>
      </w:r>
    </w:p>
    <w:p w14:paraId="510A2404" w14:textId="77777777" w:rsidR="000D22CB" w:rsidRDefault="00A64362">
      <w:pPr>
        <w:numPr>
          <w:ilvl w:val="0"/>
          <w:numId w:val="1"/>
        </w:numPr>
        <w:spacing w:after="4" w:line="250" w:lineRule="auto"/>
        <w:ind w:right="971" w:hanging="360"/>
      </w:pPr>
      <w:r>
        <w:rPr>
          <w:rFonts w:ascii="Lato" w:eastAsia="Lato" w:hAnsi="Lato" w:cs="Lato"/>
          <w:sz w:val="27"/>
        </w:rPr>
        <w:t xml:space="preserve">Falls among men visiting the emergency department (3.8%) were more likely to be associated with alcohol than women (1.0%) (Bye, </w:t>
      </w:r>
      <w:proofErr w:type="spellStart"/>
      <w:r>
        <w:rPr>
          <w:rFonts w:ascii="Lato" w:eastAsia="Lato" w:hAnsi="Lato" w:cs="Lato"/>
          <w:sz w:val="27"/>
        </w:rPr>
        <w:t>Bogstrand</w:t>
      </w:r>
      <w:proofErr w:type="spellEnd"/>
      <w:r>
        <w:rPr>
          <w:rFonts w:ascii="Lato" w:eastAsia="Lato" w:hAnsi="Lato" w:cs="Lato"/>
          <w:sz w:val="27"/>
        </w:rPr>
        <w:t xml:space="preserve"> and Rossow, 2021; Yuan </w:t>
      </w:r>
      <w:r>
        <w:rPr>
          <w:rFonts w:ascii="Lato" w:eastAsia="Lato" w:hAnsi="Lato" w:cs="Lato"/>
          <w:i/>
          <w:sz w:val="27"/>
        </w:rPr>
        <w:t>et al</w:t>
      </w:r>
      <w:r>
        <w:rPr>
          <w:rFonts w:ascii="Lato" w:eastAsia="Lato" w:hAnsi="Lato" w:cs="Lato"/>
          <w:sz w:val="27"/>
        </w:rPr>
        <w:t xml:space="preserve">., 2023). </w:t>
      </w:r>
    </w:p>
    <w:p w14:paraId="0D149D53" w14:textId="77777777" w:rsidR="000D22CB" w:rsidRDefault="00A64362">
      <w:pPr>
        <w:spacing w:after="0"/>
      </w:pPr>
      <w:r>
        <w:rPr>
          <w:rFonts w:ascii="Lato" w:eastAsia="Lato" w:hAnsi="Lato" w:cs="Lato"/>
          <w:sz w:val="27"/>
        </w:rPr>
        <w:t xml:space="preserve"> </w:t>
      </w:r>
    </w:p>
    <w:p w14:paraId="6AE433E5" w14:textId="77777777" w:rsidR="000D22CB" w:rsidRDefault="00A64362">
      <w:pPr>
        <w:numPr>
          <w:ilvl w:val="0"/>
          <w:numId w:val="1"/>
        </w:numPr>
        <w:spacing w:after="4" w:line="250" w:lineRule="auto"/>
        <w:ind w:right="971" w:hanging="360"/>
      </w:pPr>
      <w:r>
        <w:rPr>
          <w:rFonts w:ascii="Lato" w:eastAsia="Lato" w:hAnsi="Lato" w:cs="Lato"/>
          <w:sz w:val="27"/>
        </w:rPr>
        <w:t>Even when alcohol consumption is the same, biological differences in genders lead to different outcomes of alcohol consumption. This leads to an increase in fall risk in women as compared to men after a set number of drinks (</w:t>
      </w:r>
      <w:proofErr w:type="spellStart"/>
      <w:r>
        <w:rPr>
          <w:rFonts w:ascii="Lato" w:eastAsia="Lato" w:hAnsi="Lato" w:cs="Lato"/>
          <w:sz w:val="27"/>
        </w:rPr>
        <w:t>Cherpitel</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2014) </w:t>
      </w:r>
    </w:p>
    <w:p w14:paraId="4FA7C19D" w14:textId="77777777" w:rsidR="000D22CB" w:rsidRDefault="00A64362">
      <w:pPr>
        <w:spacing w:after="0"/>
      </w:pPr>
      <w:r>
        <w:rPr>
          <w:rFonts w:ascii="Lato" w:eastAsia="Lato" w:hAnsi="Lato" w:cs="Lato"/>
          <w:sz w:val="27"/>
        </w:rPr>
        <w:t xml:space="preserve"> </w:t>
      </w:r>
    </w:p>
    <w:p w14:paraId="71BB93C0" w14:textId="77777777" w:rsidR="000D22CB" w:rsidRDefault="00A64362">
      <w:pPr>
        <w:numPr>
          <w:ilvl w:val="0"/>
          <w:numId w:val="1"/>
        </w:numPr>
        <w:spacing w:after="4" w:line="250" w:lineRule="auto"/>
        <w:ind w:right="971" w:hanging="360"/>
      </w:pPr>
      <w:r>
        <w:rPr>
          <w:rFonts w:ascii="Lato" w:eastAsia="Lato" w:hAnsi="Lato" w:cs="Lato"/>
          <w:sz w:val="27"/>
        </w:rPr>
        <w:t xml:space="preserve">Elderly women are more likely to be injured during alcohol falls due to other factors such as menopause and lifestyle factors (Gale, Cooper and </w:t>
      </w:r>
      <w:proofErr w:type="spellStart"/>
      <w:r>
        <w:rPr>
          <w:rFonts w:ascii="Lato" w:eastAsia="Lato" w:hAnsi="Lato" w:cs="Lato"/>
          <w:sz w:val="27"/>
        </w:rPr>
        <w:t>Aihie</w:t>
      </w:r>
      <w:proofErr w:type="spellEnd"/>
      <w:r>
        <w:rPr>
          <w:rFonts w:ascii="Lato" w:eastAsia="Lato" w:hAnsi="Lato" w:cs="Lato"/>
          <w:sz w:val="27"/>
        </w:rPr>
        <w:t xml:space="preserve"> Sayer, 2016). </w:t>
      </w:r>
    </w:p>
    <w:p w14:paraId="44202649" w14:textId="77777777" w:rsidR="000D22CB" w:rsidRDefault="00A64362">
      <w:pPr>
        <w:spacing w:after="0"/>
        <w:ind w:left="720"/>
      </w:pPr>
      <w:r>
        <w:rPr>
          <w:rFonts w:ascii="Lato" w:eastAsia="Lato" w:hAnsi="Lato" w:cs="Lato"/>
          <w:sz w:val="27"/>
        </w:rPr>
        <w:t xml:space="preserve"> </w:t>
      </w:r>
    </w:p>
    <w:p w14:paraId="206989D3" w14:textId="77777777" w:rsidR="000D22CB" w:rsidRDefault="00A64362">
      <w:pPr>
        <w:spacing w:after="0"/>
        <w:ind w:left="720"/>
      </w:pPr>
      <w:r>
        <w:rPr>
          <w:rFonts w:ascii="Lato" w:eastAsia="Lato" w:hAnsi="Lato" w:cs="Lato"/>
          <w:sz w:val="27"/>
        </w:rPr>
        <w:t xml:space="preserve"> </w:t>
      </w:r>
    </w:p>
    <w:p w14:paraId="0BD92C30" w14:textId="77777777" w:rsidR="000D22CB" w:rsidRDefault="00A64362">
      <w:pPr>
        <w:spacing w:after="0"/>
        <w:ind w:left="720"/>
      </w:pPr>
      <w:r>
        <w:rPr>
          <w:rFonts w:ascii="Lato" w:eastAsia="Lato" w:hAnsi="Lato" w:cs="Lato"/>
          <w:sz w:val="27"/>
        </w:rPr>
        <w:t xml:space="preserve"> </w:t>
      </w:r>
    </w:p>
    <w:p w14:paraId="2580DA52" w14:textId="77777777" w:rsidR="000D22CB" w:rsidRDefault="00A64362">
      <w:pPr>
        <w:spacing w:after="0"/>
        <w:ind w:left="720"/>
      </w:pPr>
      <w:r>
        <w:rPr>
          <w:rFonts w:ascii="Lato" w:eastAsia="Lato" w:hAnsi="Lato" w:cs="Lato"/>
          <w:sz w:val="27"/>
        </w:rPr>
        <w:t xml:space="preserve"> </w:t>
      </w:r>
    </w:p>
    <w:p w14:paraId="5B444E0F" w14:textId="77777777" w:rsidR="000D22CB" w:rsidRDefault="00A64362">
      <w:pPr>
        <w:spacing w:after="0"/>
        <w:ind w:left="-5" w:hanging="10"/>
      </w:pPr>
      <w:r>
        <w:rPr>
          <w:rFonts w:ascii="Lato" w:eastAsia="Lato" w:hAnsi="Lato" w:cs="Lato"/>
          <w:color w:val="4471C4"/>
          <w:sz w:val="27"/>
        </w:rPr>
        <w:t xml:space="preserve">Ethnicity. </w:t>
      </w:r>
    </w:p>
    <w:p w14:paraId="66738038" w14:textId="77777777" w:rsidR="000D22CB" w:rsidRDefault="00A64362">
      <w:pPr>
        <w:spacing w:after="0"/>
      </w:pPr>
      <w:r>
        <w:rPr>
          <w:rFonts w:ascii="Lato" w:eastAsia="Lato" w:hAnsi="Lato" w:cs="Lato"/>
          <w:sz w:val="27"/>
        </w:rPr>
        <w:t xml:space="preserve"> </w:t>
      </w:r>
    </w:p>
    <w:p w14:paraId="780ADE53" w14:textId="77777777" w:rsidR="000D22CB" w:rsidRDefault="00A64362">
      <w:pPr>
        <w:numPr>
          <w:ilvl w:val="0"/>
          <w:numId w:val="1"/>
        </w:numPr>
        <w:spacing w:after="4" w:line="250" w:lineRule="auto"/>
        <w:ind w:right="971" w:hanging="360"/>
      </w:pPr>
      <w:r>
        <w:rPr>
          <w:rFonts w:ascii="Lato" w:eastAsia="Lato" w:hAnsi="Lato" w:cs="Lato"/>
          <w:sz w:val="27"/>
        </w:rPr>
        <w:lastRenderedPageBreak/>
        <w:t>There exists some studies of the alcohol consumption of different ethnicities and hospital admission for general and alcohol-related falls. The link between alcohol falls and ethnicity is not established (</w:t>
      </w:r>
      <w:proofErr w:type="spellStart"/>
      <w:r>
        <w:rPr>
          <w:rFonts w:ascii="Lato" w:eastAsia="Lato" w:hAnsi="Lato" w:cs="Lato"/>
          <w:sz w:val="27"/>
        </w:rPr>
        <w:t>Hurcombe</w:t>
      </w:r>
      <w:proofErr w:type="spellEnd"/>
      <w:r>
        <w:rPr>
          <w:rFonts w:ascii="Lato" w:eastAsia="Lato" w:hAnsi="Lato" w:cs="Lato"/>
          <w:sz w:val="27"/>
        </w:rPr>
        <w:t xml:space="preserve">, Bayley and Goodman, 2010). </w:t>
      </w:r>
    </w:p>
    <w:p w14:paraId="54000B44" w14:textId="77777777" w:rsidR="000D22CB" w:rsidRDefault="00A64362">
      <w:pPr>
        <w:spacing w:after="0"/>
      </w:pPr>
      <w:r>
        <w:rPr>
          <w:rFonts w:ascii="Lato" w:eastAsia="Lato" w:hAnsi="Lato" w:cs="Lato"/>
          <w:sz w:val="27"/>
        </w:rPr>
        <w:t xml:space="preserve"> </w:t>
      </w:r>
    </w:p>
    <w:p w14:paraId="20BD05F3" w14:textId="77777777" w:rsidR="000D22CB" w:rsidRDefault="00A64362">
      <w:pPr>
        <w:numPr>
          <w:ilvl w:val="0"/>
          <w:numId w:val="1"/>
        </w:numPr>
        <w:spacing w:after="4" w:line="250" w:lineRule="auto"/>
        <w:ind w:right="971" w:hanging="360"/>
      </w:pPr>
      <w:r>
        <w:rPr>
          <w:rFonts w:ascii="Lato" w:eastAsia="Lato" w:hAnsi="Lato" w:cs="Lato"/>
          <w:sz w:val="27"/>
        </w:rPr>
        <w:t xml:space="preserve">Analysing the alcohol consumption between different ethnicities may provide a view into the fall risk. Given the premise of alcohol consumption’s link to increased fall risk is accepted. </w:t>
      </w:r>
    </w:p>
    <w:p w14:paraId="0E99F161" w14:textId="77777777" w:rsidR="000D22CB" w:rsidRDefault="00A64362">
      <w:pPr>
        <w:spacing w:after="0"/>
      </w:pPr>
      <w:r>
        <w:rPr>
          <w:rFonts w:ascii="Lato" w:eastAsia="Lato" w:hAnsi="Lato" w:cs="Lato"/>
          <w:sz w:val="27"/>
        </w:rPr>
        <w:t xml:space="preserve"> </w:t>
      </w:r>
    </w:p>
    <w:p w14:paraId="42CDCF42" w14:textId="77777777" w:rsidR="000D22CB" w:rsidRDefault="00A64362">
      <w:pPr>
        <w:numPr>
          <w:ilvl w:val="0"/>
          <w:numId w:val="1"/>
        </w:numPr>
        <w:spacing w:after="4" w:line="250" w:lineRule="auto"/>
        <w:ind w:right="971" w:hanging="360"/>
      </w:pPr>
      <w:r>
        <w:rPr>
          <w:rFonts w:ascii="Lato" w:eastAsia="Lato" w:hAnsi="Lato" w:cs="Lato"/>
          <w:sz w:val="27"/>
        </w:rPr>
        <w:t xml:space="preserve">While White British groups have a higher alcohol consumption in the UK compared to ethnic minorities, alcohol consumption varies due to culture, religion, and many other factors (Institute of Alcohol Studies, 2020). </w:t>
      </w:r>
    </w:p>
    <w:p w14:paraId="6C94F994" w14:textId="77777777" w:rsidR="000D22CB" w:rsidRDefault="00A64362">
      <w:pPr>
        <w:spacing w:after="0"/>
      </w:pPr>
      <w:r>
        <w:rPr>
          <w:rFonts w:ascii="Lato" w:eastAsia="Lato" w:hAnsi="Lato" w:cs="Lato"/>
          <w:sz w:val="27"/>
        </w:rPr>
        <w:t xml:space="preserve"> </w:t>
      </w:r>
    </w:p>
    <w:p w14:paraId="2A37A478" w14:textId="77777777" w:rsidR="000D22CB" w:rsidRDefault="00A64362">
      <w:pPr>
        <w:spacing w:after="0"/>
        <w:ind w:left="-5" w:hanging="10"/>
      </w:pPr>
      <w:r>
        <w:rPr>
          <w:rFonts w:ascii="Lato" w:eastAsia="Lato" w:hAnsi="Lato" w:cs="Lato"/>
          <w:color w:val="4471C4"/>
          <w:sz w:val="27"/>
        </w:rPr>
        <w:t xml:space="preserve">Deprivation. </w:t>
      </w:r>
    </w:p>
    <w:p w14:paraId="33AD5341" w14:textId="77777777" w:rsidR="000D22CB" w:rsidRDefault="00A64362">
      <w:pPr>
        <w:spacing w:after="0"/>
      </w:pPr>
      <w:r>
        <w:rPr>
          <w:rFonts w:ascii="Lato" w:eastAsia="Lato" w:hAnsi="Lato" w:cs="Lato"/>
          <w:sz w:val="27"/>
        </w:rPr>
        <w:t xml:space="preserve"> </w:t>
      </w:r>
    </w:p>
    <w:p w14:paraId="1B5FBF47" w14:textId="77777777" w:rsidR="000D22CB" w:rsidRDefault="00A64362">
      <w:pPr>
        <w:numPr>
          <w:ilvl w:val="0"/>
          <w:numId w:val="1"/>
        </w:numPr>
        <w:spacing w:after="4" w:line="250" w:lineRule="auto"/>
        <w:ind w:right="971" w:hanging="360"/>
      </w:pPr>
      <w:r>
        <w:rPr>
          <w:rFonts w:ascii="Lato" w:eastAsia="Lato" w:hAnsi="Lato" w:cs="Lato"/>
          <w:sz w:val="27"/>
        </w:rPr>
        <w:t xml:space="preserve">Alcohol is one of the main contributors to social and health inequalities. Individuals from the lowest socioeconomic class were found to be twice as likely to experience death either partly or entirely because of alcohol use compared to those in higher socioeconomic groups (Institute of Alcohol Studies, 2020; Jones </w:t>
      </w:r>
      <w:r>
        <w:rPr>
          <w:rFonts w:ascii="Lato" w:eastAsia="Lato" w:hAnsi="Lato" w:cs="Lato"/>
          <w:i/>
          <w:sz w:val="27"/>
        </w:rPr>
        <w:t>et al</w:t>
      </w:r>
      <w:r>
        <w:rPr>
          <w:rFonts w:ascii="Lato" w:eastAsia="Lato" w:hAnsi="Lato" w:cs="Lato"/>
          <w:sz w:val="27"/>
        </w:rPr>
        <w:t xml:space="preserve">., 2015). </w:t>
      </w:r>
    </w:p>
    <w:p w14:paraId="4339D864" w14:textId="77777777" w:rsidR="000D22CB" w:rsidRDefault="00A64362">
      <w:pPr>
        <w:spacing w:after="0"/>
      </w:pPr>
      <w:r>
        <w:rPr>
          <w:rFonts w:ascii="Lato" w:eastAsia="Lato" w:hAnsi="Lato" w:cs="Lato"/>
          <w:sz w:val="27"/>
        </w:rPr>
        <w:t xml:space="preserve"> </w:t>
      </w:r>
    </w:p>
    <w:p w14:paraId="1D2F46C0" w14:textId="77777777" w:rsidR="000D22CB" w:rsidRDefault="00A64362">
      <w:pPr>
        <w:numPr>
          <w:ilvl w:val="0"/>
          <w:numId w:val="1"/>
        </w:numPr>
        <w:spacing w:after="4" w:line="250" w:lineRule="auto"/>
        <w:ind w:right="971" w:hanging="360"/>
      </w:pPr>
      <w:r>
        <w:rPr>
          <w:rFonts w:ascii="Lato" w:eastAsia="Lato" w:hAnsi="Lato" w:cs="Lato"/>
          <w:sz w:val="27"/>
        </w:rPr>
        <w:t xml:space="preserve">Adults living in the least deprived areas were more likely to drink over 14 units of alcohol in a usual week than those living in the most deprived areas (27% compared with 18%) (GOV.UK, 2021). </w:t>
      </w:r>
    </w:p>
    <w:p w14:paraId="39BA0619" w14:textId="77777777" w:rsidR="000D22CB" w:rsidRDefault="00A64362">
      <w:pPr>
        <w:spacing w:after="0"/>
      </w:pPr>
      <w:r>
        <w:rPr>
          <w:rFonts w:ascii="Lato" w:eastAsia="Lato" w:hAnsi="Lato" w:cs="Lato"/>
          <w:sz w:val="27"/>
        </w:rPr>
        <w:t xml:space="preserve"> </w:t>
      </w:r>
    </w:p>
    <w:p w14:paraId="3088B876" w14:textId="77777777" w:rsidR="000D22CB" w:rsidRDefault="00A64362">
      <w:pPr>
        <w:numPr>
          <w:ilvl w:val="0"/>
          <w:numId w:val="1"/>
        </w:numPr>
        <w:spacing w:after="4" w:line="250" w:lineRule="auto"/>
        <w:ind w:right="971" w:hanging="360"/>
      </w:pPr>
      <w:r>
        <w:rPr>
          <w:rFonts w:ascii="Lato" w:eastAsia="Lato" w:hAnsi="Lato" w:cs="Lato"/>
          <w:sz w:val="27"/>
        </w:rPr>
        <w:t xml:space="preserve">The association between socioeconomic status and alcohol consumption is an understudied area. Therefore, linking alcohol consumption to falls since the link between alcohol consumption and falls is not concrete. People in higher socio-economic classes tend to drink more than those in lower socio-economic classes however, the latter group appears to be more affected by harmful alcohol-related outcomes such as falls and injuries (Collins, 2016). </w:t>
      </w:r>
    </w:p>
    <w:p w14:paraId="0819565F" w14:textId="77777777" w:rsidR="000D22CB" w:rsidRDefault="00A64362">
      <w:pPr>
        <w:spacing w:after="0"/>
        <w:ind w:left="720"/>
      </w:pPr>
      <w:r>
        <w:rPr>
          <w:rFonts w:ascii="Lato" w:eastAsia="Lato" w:hAnsi="Lato" w:cs="Lato"/>
          <w:sz w:val="27"/>
        </w:rPr>
        <w:t xml:space="preserve"> </w:t>
      </w:r>
    </w:p>
    <w:p w14:paraId="4F132346" w14:textId="77777777" w:rsidR="000D22CB" w:rsidRDefault="00A64362">
      <w:pPr>
        <w:spacing w:after="0"/>
      </w:pPr>
      <w:r>
        <w:rPr>
          <w:rFonts w:ascii="Lato" w:eastAsia="Lato" w:hAnsi="Lato" w:cs="Lato"/>
          <w:sz w:val="27"/>
        </w:rPr>
        <w:t xml:space="preserve"> </w:t>
      </w:r>
    </w:p>
    <w:p w14:paraId="2C3D0714" w14:textId="77777777" w:rsidR="000D22CB" w:rsidRDefault="00A64362">
      <w:pPr>
        <w:spacing w:after="0"/>
      </w:pPr>
      <w:r>
        <w:rPr>
          <w:rFonts w:ascii="Lato" w:eastAsia="Lato" w:hAnsi="Lato" w:cs="Lato"/>
          <w:sz w:val="27"/>
        </w:rPr>
        <w:t xml:space="preserve"> </w:t>
      </w:r>
    </w:p>
    <w:p w14:paraId="3C454B27" w14:textId="77777777" w:rsidR="000D22CB" w:rsidRDefault="00A64362">
      <w:pPr>
        <w:spacing w:after="0"/>
        <w:ind w:left="720"/>
      </w:pPr>
      <w:r>
        <w:rPr>
          <w:rFonts w:ascii="Lato" w:eastAsia="Lato" w:hAnsi="Lato" w:cs="Lato"/>
          <w:sz w:val="27"/>
        </w:rPr>
        <w:t xml:space="preserve"> </w:t>
      </w:r>
    </w:p>
    <w:p w14:paraId="2FBB2D26" w14:textId="77777777" w:rsidR="00756463" w:rsidRDefault="00756463">
      <w:pPr>
        <w:spacing w:after="0"/>
        <w:ind w:left="720"/>
        <w:rPr>
          <w:rFonts w:ascii="Lato" w:eastAsia="Lato" w:hAnsi="Lato" w:cs="Lato"/>
          <w:sz w:val="27"/>
        </w:rPr>
      </w:pPr>
    </w:p>
    <w:p w14:paraId="4960FC8C" w14:textId="4E01A246" w:rsidR="000D22CB" w:rsidRDefault="00A64362">
      <w:pPr>
        <w:spacing w:after="0"/>
        <w:ind w:left="720"/>
      </w:pPr>
      <w:r>
        <w:rPr>
          <w:rFonts w:ascii="Lato" w:eastAsia="Lato" w:hAnsi="Lato" w:cs="Lato"/>
          <w:sz w:val="27"/>
        </w:rPr>
        <w:t xml:space="preserve"> </w:t>
      </w:r>
    </w:p>
    <w:p w14:paraId="28C5577C" w14:textId="77777777" w:rsidR="000D22CB" w:rsidRDefault="00A64362">
      <w:pPr>
        <w:spacing w:after="4" w:line="253" w:lineRule="auto"/>
        <w:ind w:right="971"/>
      </w:pPr>
      <w:r>
        <w:rPr>
          <w:rFonts w:ascii="Lato" w:eastAsia="Lato" w:hAnsi="Lato" w:cs="Lato"/>
          <w:b/>
          <w:sz w:val="27"/>
        </w:rPr>
        <w:t xml:space="preserve">The main recommendations put forward by the above papers include: </w:t>
      </w:r>
    </w:p>
    <w:p w14:paraId="35B9F49B" w14:textId="77777777" w:rsidR="000D22CB" w:rsidRDefault="00A64362">
      <w:pPr>
        <w:spacing w:after="0"/>
      </w:pPr>
      <w:r>
        <w:rPr>
          <w:rFonts w:ascii="Lato" w:eastAsia="Lato" w:hAnsi="Lato" w:cs="Lato"/>
          <w:b/>
          <w:sz w:val="27"/>
        </w:rPr>
        <w:t xml:space="preserve"> </w:t>
      </w:r>
    </w:p>
    <w:p w14:paraId="39E9BFDE" w14:textId="77777777" w:rsidR="000D22CB" w:rsidRDefault="00A64362">
      <w:pPr>
        <w:numPr>
          <w:ilvl w:val="0"/>
          <w:numId w:val="1"/>
        </w:numPr>
        <w:spacing w:after="4" w:line="253" w:lineRule="auto"/>
        <w:ind w:right="971" w:hanging="360"/>
      </w:pPr>
      <w:r>
        <w:rPr>
          <w:rFonts w:ascii="Lato" w:eastAsia="Lato" w:hAnsi="Lato" w:cs="Lato"/>
          <w:b/>
          <w:sz w:val="27"/>
        </w:rPr>
        <w:lastRenderedPageBreak/>
        <w:t xml:space="preserve">The use of validated and reliable tools to measure alcohol intake rather than the average consumption. Alcohol consumption at the time of fall may provide a clear link between alcohol consumption and fall. </w:t>
      </w:r>
    </w:p>
    <w:p w14:paraId="57726E28" w14:textId="77777777" w:rsidR="000D22CB" w:rsidRDefault="00A64362">
      <w:pPr>
        <w:spacing w:after="0"/>
      </w:pPr>
      <w:r>
        <w:rPr>
          <w:rFonts w:ascii="Lato" w:eastAsia="Lato" w:hAnsi="Lato" w:cs="Lato"/>
          <w:b/>
          <w:sz w:val="27"/>
        </w:rPr>
        <w:t xml:space="preserve"> </w:t>
      </w:r>
    </w:p>
    <w:p w14:paraId="5BF8CB72" w14:textId="77777777" w:rsidR="000D22CB" w:rsidRDefault="00A64362">
      <w:pPr>
        <w:numPr>
          <w:ilvl w:val="0"/>
          <w:numId w:val="1"/>
        </w:numPr>
        <w:spacing w:after="4" w:line="253" w:lineRule="auto"/>
        <w:ind w:right="971" w:hanging="360"/>
      </w:pPr>
      <w:r>
        <w:rPr>
          <w:rFonts w:ascii="Lato" w:eastAsia="Lato" w:hAnsi="Lato" w:cs="Lato"/>
          <w:b/>
          <w:sz w:val="27"/>
        </w:rPr>
        <w:t xml:space="preserve">The type of link between alcohol and falls should be clarified in studies. The dose-dependent link between alcohol consumption and falls in acute intoxication and the link between cumulative and chronic alcohol exposure and falls. </w:t>
      </w:r>
    </w:p>
    <w:p w14:paraId="72A1C939" w14:textId="77777777" w:rsidR="000D22CB" w:rsidRDefault="00A64362">
      <w:pPr>
        <w:spacing w:after="0"/>
      </w:pPr>
      <w:r>
        <w:rPr>
          <w:rFonts w:ascii="Lato" w:eastAsia="Lato" w:hAnsi="Lato" w:cs="Lato"/>
          <w:b/>
          <w:sz w:val="27"/>
        </w:rPr>
        <w:t xml:space="preserve"> </w:t>
      </w:r>
    </w:p>
    <w:p w14:paraId="43B196BA" w14:textId="77777777" w:rsidR="000D22CB" w:rsidRDefault="00A64362">
      <w:pPr>
        <w:numPr>
          <w:ilvl w:val="0"/>
          <w:numId w:val="1"/>
        </w:numPr>
        <w:spacing w:after="4" w:line="253" w:lineRule="auto"/>
        <w:ind w:right="971" w:hanging="360"/>
      </w:pPr>
      <w:r>
        <w:rPr>
          <w:rFonts w:ascii="Lato" w:eastAsia="Lato" w:hAnsi="Lato" w:cs="Lato"/>
          <w:b/>
          <w:sz w:val="27"/>
        </w:rPr>
        <w:t xml:space="preserve">Areas of moderate alcohol consumption and falls should be thoroughly researched, due to prevalent studies showing a decreased risk of falls. Hence, making the current alcohol consumption recommendations potentially beneficial to reducing fall risks. </w:t>
      </w:r>
    </w:p>
    <w:p w14:paraId="0EF0438D" w14:textId="77777777" w:rsidR="000D22CB" w:rsidRDefault="00A64362">
      <w:pPr>
        <w:spacing w:after="0"/>
      </w:pPr>
      <w:r>
        <w:rPr>
          <w:rFonts w:ascii="Lato" w:eastAsia="Lato" w:hAnsi="Lato" w:cs="Lato"/>
          <w:b/>
          <w:sz w:val="27"/>
        </w:rPr>
        <w:t xml:space="preserve"> </w:t>
      </w:r>
    </w:p>
    <w:p w14:paraId="325C33DE" w14:textId="77777777" w:rsidR="000D22CB" w:rsidRDefault="00A64362">
      <w:pPr>
        <w:numPr>
          <w:ilvl w:val="0"/>
          <w:numId w:val="1"/>
        </w:numPr>
        <w:spacing w:after="4" w:line="253" w:lineRule="auto"/>
        <w:ind w:right="971" w:hanging="360"/>
      </w:pPr>
      <w:r>
        <w:rPr>
          <w:rFonts w:ascii="Lato" w:eastAsia="Lato" w:hAnsi="Lato" w:cs="Lato"/>
          <w:b/>
          <w:sz w:val="27"/>
        </w:rPr>
        <w:t xml:space="preserve">There should be specific research linking and showing the relationship between alcohol-related falls and age, gender, ethnicity, and socioeconomic status. </w:t>
      </w:r>
    </w:p>
    <w:p w14:paraId="163E959B" w14:textId="77777777" w:rsidR="000D22CB" w:rsidRDefault="00A64362">
      <w:pPr>
        <w:spacing w:after="0"/>
      </w:pPr>
      <w:r>
        <w:rPr>
          <w:rFonts w:ascii="Lato" w:eastAsia="Lato" w:hAnsi="Lato" w:cs="Lato"/>
          <w:b/>
          <w:sz w:val="27"/>
        </w:rPr>
        <w:t xml:space="preserve"> </w:t>
      </w:r>
    </w:p>
    <w:p w14:paraId="79FE197F" w14:textId="77777777" w:rsidR="000D22CB" w:rsidRDefault="00A64362">
      <w:pPr>
        <w:numPr>
          <w:ilvl w:val="0"/>
          <w:numId w:val="1"/>
        </w:numPr>
        <w:spacing w:after="4" w:line="253" w:lineRule="auto"/>
        <w:ind w:right="971" w:hanging="360"/>
      </w:pPr>
      <w:r>
        <w:rPr>
          <w:rFonts w:ascii="Lato" w:eastAsia="Lato" w:hAnsi="Lato" w:cs="Lato"/>
          <w:b/>
          <w:sz w:val="27"/>
        </w:rPr>
        <w:t xml:space="preserve">Data gained from these studies could be used to improve fall prevention programmes. The lack of specific data linking alcohol falls and the factors mentioned above do not allow for specific interventions tailored to specific age groups, gender, socioeconomic class, or ethnicity. </w:t>
      </w:r>
    </w:p>
    <w:p w14:paraId="24251433" w14:textId="77777777" w:rsidR="000D22CB" w:rsidRDefault="00A64362">
      <w:pPr>
        <w:spacing w:after="348"/>
        <w:ind w:left="720"/>
      </w:pPr>
      <w:r>
        <w:rPr>
          <w:rFonts w:ascii="Lato" w:eastAsia="Lato" w:hAnsi="Lato" w:cs="Lato"/>
          <w:sz w:val="27"/>
        </w:rPr>
        <w:t xml:space="preserve"> </w:t>
      </w:r>
    </w:p>
    <w:p w14:paraId="3D84B421" w14:textId="77777777" w:rsidR="000D22CB" w:rsidRDefault="00A64362">
      <w:pPr>
        <w:spacing w:after="1"/>
        <w:ind w:left="-5" w:hanging="10"/>
      </w:pPr>
      <w:r>
        <w:rPr>
          <w:rFonts w:ascii="Lato" w:eastAsia="Lato" w:hAnsi="Lato" w:cs="Lato"/>
          <w:b/>
          <w:color w:val="2E5496"/>
          <w:sz w:val="40"/>
        </w:rPr>
        <w:t xml:space="preserve">Injuries in alcohol-related falls. </w:t>
      </w:r>
    </w:p>
    <w:p w14:paraId="26FF3A65" w14:textId="77777777" w:rsidR="000D22CB" w:rsidRDefault="00A64362">
      <w:pPr>
        <w:spacing w:after="22"/>
      </w:pPr>
      <w:r>
        <w:rPr>
          <w:rFonts w:ascii="Times New Roman" w:eastAsia="Times New Roman" w:hAnsi="Times New Roman" w:cs="Times New Roman"/>
          <w:sz w:val="24"/>
        </w:rPr>
        <w:t xml:space="preserve"> </w:t>
      </w:r>
    </w:p>
    <w:p w14:paraId="286FF774" w14:textId="77777777" w:rsidR="000D22CB" w:rsidRDefault="00A64362">
      <w:pPr>
        <w:numPr>
          <w:ilvl w:val="0"/>
          <w:numId w:val="1"/>
        </w:numPr>
        <w:spacing w:after="4" w:line="250" w:lineRule="auto"/>
        <w:ind w:right="971" w:hanging="360"/>
      </w:pPr>
      <w:r>
        <w:rPr>
          <w:rFonts w:ascii="Lato" w:eastAsia="Lato" w:hAnsi="Lato" w:cs="Lato"/>
          <w:sz w:val="27"/>
        </w:rPr>
        <w:t>Advancing age strongly predicts the type and severity of injuries sustained during falls (</w:t>
      </w:r>
      <w:proofErr w:type="spellStart"/>
      <w:r>
        <w:rPr>
          <w:rFonts w:ascii="Lato" w:eastAsia="Lato" w:hAnsi="Lato" w:cs="Lato"/>
          <w:sz w:val="27"/>
        </w:rPr>
        <w:t>Chatha</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2017; Ambrose, Cruz, and Paul, 2015). </w:t>
      </w:r>
    </w:p>
    <w:p w14:paraId="6A74F0E8" w14:textId="77777777" w:rsidR="000D22CB" w:rsidRDefault="00A64362">
      <w:pPr>
        <w:spacing w:after="0"/>
        <w:ind w:left="720"/>
      </w:pPr>
      <w:r>
        <w:rPr>
          <w:rFonts w:ascii="Lato" w:eastAsia="Lato" w:hAnsi="Lato" w:cs="Lato"/>
          <w:sz w:val="27"/>
        </w:rPr>
        <w:t xml:space="preserve"> </w:t>
      </w:r>
    </w:p>
    <w:p w14:paraId="234AF755" w14:textId="77777777" w:rsidR="000D22CB" w:rsidRDefault="00A64362">
      <w:pPr>
        <w:numPr>
          <w:ilvl w:val="0"/>
          <w:numId w:val="1"/>
        </w:numPr>
        <w:spacing w:after="4" w:line="250" w:lineRule="auto"/>
        <w:ind w:right="971" w:hanging="360"/>
      </w:pPr>
      <w:r>
        <w:rPr>
          <w:rFonts w:ascii="Lato" w:eastAsia="Lato" w:hAnsi="Lato" w:cs="Lato"/>
          <w:sz w:val="27"/>
        </w:rPr>
        <w:t xml:space="preserve">The severity of the injuries sustained can be based on the alcohol consumption as well as the location of drinking (Ye </w:t>
      </w:r>
      <w:r>
        <w:rPr>
          <w:rFonts w:ascii="Lato" w:eastAsia="Lato" w:hAnsi="Lato" w:cs="Lato"/>
          <w:i/>
          <w:sz w:val="27"/>
        </w:rPr>
        <w:t>et al</w:t>
      </w:r>
      <w:r>
        <w:rPr>
          <w:rFonts w:ascii="Lato" w:eastAsia="Lato" w:hAnsi="Lato" w:cs="Lato"/>
          <w:sz w:val="27"/>
        </w:rPr>
        <w:t xml:space="preserve">., 2020). </w:t>
      </w:r>
    </w:p>
    <w:p w14:paraId="0DFF45CF" w14:textId="77777777" w:rsidR="000D22CB" w:rsidRDefault="00A64362">
      <w:pPr>
        <w:spacing w:after="0"/>
      </w:pPr>
      <w:r>
        <w:rPr>
          <w:rFonts w:ascii="Lato" w:eastAsia="Lato" w:hAnsi="Lato" w:cs="Lato"/>
          <w:sz w:val="27"/>
        </w:rPr>
        <w:t xml:space="preserve"> </w:t>
      </w:r>
    </w:p>
    <w:p w14:paraId="1525C615" w14:textId="45F77E0B" w:rsidR="000D22CB" w:rsidRDefault="00A64362">
      <w:pPr>
        <w:numPr>
          <w:ilvl w:val="0"/>
          <w:numId w:val="1"/>
        </w:numPr>
        <w:spacing w:after="4" w:line="250" w:lineRule="auto"/>
        <w:ind w:right="971" w:hanging="360"/>
      </w:pPr>
      <w:r>
        <w:rPr>
          <w:rFonts w:ascii="Lato" w:eastAsia="Lato" w:hAnsi="Lato" w:cs="Lato"/>
          <w:sz w:val="27"/>
        </w:rPr>
        <w:t>Alcohol-related falls are linked to age, gender and type of injury sustained (Woods, Jones, and Usher, 2019)</w:t>
      </w:r>
      <w:r w:rsidR="00D30E17">
        <w:rPr>
          <w:rFonts w:ascii="Lato" w:eastAsia="Lato" w:hAnsi="Lato" w:cs="Lato"/>
          <w:sz w:val="27"/>
        </w:rPr>
        <w:t xml:space="preserve">. </w:t>
      </w:r>
    </w:p>
    <w:p w14:paraId="652CC9BA" w14:textId="77777777" w:rsidR="000D22CB" w:rsidRDefault="00A64362">
      <w:pPr>
        <w:spacing w:after="0"/>
        <w:ind w:left="720"/>
      </w:pPr>
      <w:r>
        <w:rPr>
          <w:rFonts w:ascii="Lato" w:eastAsia="Lato" w:hAnsi="Lato" w:cs="Lato"/>
          <w:sz w:val="27"/>
        </w:rPr>
        <w:t xml:space="preserve"> </w:t>
      </w:r>
    </w:p>
    <w:p w14:paraId="0243C3F5" w14:textId="77777777" w:rsidR="000D22CB" w:rsidRDefault="00A64362">
      <w:pPr>
        <w:spacing w:after="0"/>
        <w:ind w:left="720"/>
      </w:pPr>
      <w:r>
        <w:rPr>
          <w:rFonts w:ascii="Lato" w:eastAsia="Lato" w:hAnsi="Lato" w:cs="Lato"/>
          <w:sz w:val="27"/>
        </w:rPr>
        <w:t xml:space="preserve"> </w:t>
      </w:r>
    </w:p>
    <w:p w14:paraId="7CC14A3E" w14:textId="77777777" w:rsidR="000D22CB" w:rsidRDefault="00A64362">
      <w:pPr>
        <w:spacing w:after="4" w:line="250" w:lineRule="auto"/>
        <w:ind w:left="720" w:right="971"/>
      </w:pPr>
      <w:r>
        <w:rPr>
          <w:rFonts w:ascii="Lato" w:eastAsia="Lato" w:hAnsi="Lato" w:cs="Lato"/>
          <w:sz w:val="27"/>
        </w:rPr>
        <w:lastRenderedPageBreak/>
        <w:t xml:space="preserve">Figure 3: Comparison of alcohol and non-alcohol-related fall presentations by body region injured. (Woods, Jones, and Usher, 2019). </w:t>
      </w:r>
    </w:p>
    <w:p w14:paraId="1E4A2E3B" w14:textId="77777777" w:rsidR="000D22CB" w:rsidRDefault="00A64362">
      <w:pPr>
        <w:spacing w:after="0"/>
        <w:ind w:left="720"/>
      </w:pPr>
      <w:r>
        <w:rPr>
          <w:rFonts w:ascii="Lato" w:eastAsia="Lato" w:hAnsi="Lato" w:cs="Lato"/>
          <w:sz w:val="27"/>
        </w:rPr>
        <w:t xml:space="preserve"> </w:t>
      </w:r>
    </w:p>
    <w:p w14:paraId="1EDC41A9" w14:textId="77777777" w:rsidR="000D22CB" w:rsidRDefault="00A64362">
      <w:pPr>
        <w:spacing w:after="0"/>
        <w:jc w:val="right"/>
      </w:pPr>
      <w:r>
        <w:rPr>
          <w:noProof/>
        </w:rPr>
        <w:drawing>
          <wp:inline distT="0" distB="0" distL="0" distR="0" wp14:anchorId="238CE296" wp14:editId="6EDD699C">
            <wp:extent cx="5847596" cy="4530725"/>
            <wp:effectExtent l="0" t="0" r="0" b="0"/>
            <wp:docPr id="1279" name="Picture 1279"/>
            <wp:cNvGraphicFramePr/>
            <a:graphic xmlns:a="http://schemas.openxmlformats.org/drawingml/2006/main">
              <a:graphicData uri="http://schemas.openxmlformats.org/drawingml/2006/picture">
                <pic:pic xmlns:pic="http://schemas.openxmlformats.org/drawingml/2006/picture">
                  <pic:nvPicPr>
                    <pic:cNvPr id="1279" name="Picture 1279"/>
                    <pic:cNvPicPr/>
                  </pic:nvPicPr>
                  <pic:blipFill>
                    <a:blip r:embed="rId10"/>
                    <a:stretch>
                      <a:fillRect/>
                    </a:stretch>
                  </pic:blipFill>
                  <pic:spPr>
                    <a:xfrm>
                      <a:off x="0" y="0"/>
                      <a:ext cx="5847596" cy="4530725"/>
                    </a:xfrm>
                    <a:prstGeom prst="rect">
                      <a:avLst/>
                    </a:prstGeom>
                  </pic:spPr>
                </pic:pic>
              </a:graphicData>
            </a:graphic>
          </wp:inline>
        </w:drawing>
      </w:r>
      <w:r>
        <w:rPr>
          <w:rFonts w:ascii="Lato" w:eastAsia="Lato" w:hAnsi="Lato" w:cs="Lato"/>
          <w:sz w:val="27"/>
        </w:rPr>
        <w:t xml:space="preserve"> </w:t>
      </w:r>
    </w:p>
    <w:p w14:paraId="02CFBB07" w14:textId="77777777" w:rsidR="000D22CB" w:rsidRDefault="00A64362">
      <w:pPr>
        <w:spacing w:after="0"/>
        <w:ind w:left="720"/>
      </w:pPr>
      <w:r>
        <w:rPr>
          <w:rFonts w:ascii="Lato" w:eastAsia="Lato" w:hAnsi="Lato" w:cs="Lato"/>
          <w:sz w:val="27"/>
        </w:rPr>
        <w:t xml:space="preserve"> </w:t>
      </w:r>
    </w:p>
    <w:p w14:paraId="7646ABB8" w14:textId="77777777" w:rsidR="000D22CB" w:rsidRDefault="00A64362">
      <w:pPr>
        <w:spacing w:after="0"/>
        <w:ind w:left="720"/>
      </w:pPr>
      <w:r>
        <w:rPr>
          <w:rFonts w:ascii="Lato" w:eastAsia="Lato" w:hAnsi="Lato" w:cs="Lato"/>
          <w:sz w:val="27"/>
        </w:rPr>
        <w:t xml:space="preserve"> </w:t>
      </w:r>
    </w:p>
    <w:p w14:paraId="1036AA2F" w14:textId="77777777" w:rsidR="000D22CB" w:rsidRDefault="00A64362">
      <w:pPr>
        <w:spacing w:after="0"/>
        <w:ind w:left="720"/>
      </w:pPr>
      <w:r>
        <w:rPr>
          <w:rFonts w:ascii="Lato" w:eastAsia="Lato" w:hAnsi="Lato" w:cs="Lato"/>
          <w:sz w:val="27"/>
        </w:rPr>
        <w:t xml:space="preserve"> </w:t>
      </w:r>
    </w:p>
    <w:p w14:paraId="1C2B8C8A" w14:textId="77777777" w:rsidR="000D22CB" w:rsidRDefault="00A64362">
      <w:pPr>
        <w:spacing w:after="9"/>
      </w:pPr>
      <w:r>
        <w:rPr>
          <w:rFonts w:ascii="Lato" w:eastAsia="Lato" w:hAnsi="Lato" w:cs="Lato"/>
          <w:sz w:val="20"/>
        </w:rPr>
        <w:t xml:space="preserve"> </w:t>
      </w:r>
      <w:r>
        <w:rPr>
          <w:rFonts w:ascii="Lato" w:eastAsia="Lato" w:hAnsi="Lato" w:cs="Lato"/>
          <w:sz w:val="24"/>
        </w:rPr>
        <w:t xml:space="preserve"> </w:t>
      </w:r>
    </w:p>
    <w:p w14:paraId="4DBB5E34" w14:textId="77777777" w:rsidR="000D22CB" w:rsidRDefault="00A64362">
      <w:pPr>
        <w:spacing w:after="0"/>
        <w:ind w:left="-5" w:hanging="10"/>
      </w:pPr>
      <w:r>
        <w:rPr>
          <w:rFonts w:ascii="Lato" w:eastAsia="Lato" w:hAnsi="Lato" w:cs="Lato"/>
          <w:color w:val="4471C4"/>
          <w:sz w:val="27"/>
        </w:rPr>
        <w:t xml:space="preserve">Pelvic and hip fractures. </w:t>
      </w:r>
    </w:p>
    <w:p w14:paraId="2819C317" w14:textId="77777777" w:rsidR="000D22CB" w:rsidRDefault="00A64362">
      <w:pPr>
        <w:spacing w:after="0"/>
        <w:ind w:left="720"/>
      </w:pPr>
      <w:r>
        <w:rPr>
          <w:rFonts w:ascii="Lato" w:eastAsia="Lato" w:hAnsi="Lato" w:cs="Lato"/>
          <w:sz w:val="27"/>
        </w:rPr>
        <w:t xml:space="preserve"> </w:t>
      </w:r>
    </w:p>
    <w:p w14:paraId="7F5E06CB" w14:textId="77777777" w:rsidR="000D22CB" w:rsidRDefault="00A64362">
      <w:pPr>
        <w:numPr>
          <w:ilvl w:val="0"/>
          <w:numId w:val="1"/>
        </w:numPr>
        <w:spacing w:after="4" w:line="250" w:lineRule="auto"/>
        <w:ind w:right="971" w:hanging="360"/>
      </w:pPr>
      <w:r>
        <w:rPr>
          <w:rFonts w:ascii="Lato" w:eastAsia="Lato" w:hAnsi="Lato" w:cs="Lato"/>
          <w:sz w:val="27"/>
        </w:rPr>
        <w:t>95% of hip fractures are linked to falls in the elderly and polytrauma is more common (NICE, 2019).</w:t>
      </w:r>
      <w:r>
        <w:rPr>
          <w:rFonts w:ascii="Lato" w:eastAsia="Lato" w:hAnsi="Lato" w:cs="Lato"/>
          <w:b/>
          <w:sz w:val="27"/>
        </w:rPr>
        <w:t xml:space="preserve"> </w:t>
      </w:r>
    </w:p>
    <w:p w14:paraId="553797D9" w14:textId="77777777" w:rsidR="000D22CB" w:rsidRDefault="00A64362">
      <w:pPr>
        <w:spacing w:after="0"/>
        <w:ind w:left="720"/>
      </w:pPr>
      <w:r>
        <w:rPr>
          <w:rFonts w:ascii="Lato" w:eastAsia="Lato" w:hAnsi="Lato" w:cs="Lato"/>
          <w:b/>
          <w:sz w:val="27"/>
        </w:rPr>
        <w:t xml:space="preserve"> </w:t>
      </w:r>
    </w:p>
    <w:p w14:paraId="50C954A5" w14:textId="77777777" w:rsidR="000D22CB" w:rsidRDefault="00A64362">
      <w:pPr>
        <w:numPr>
          <w:ilvl w:val="0"/>
          <w:numId w:val="1"/>
        </w:numPr>
        <w:spacing w:after="4" w:line="250" w:lineRule="auto"/>
        <w:ind w:right="971" w:hanging="360"/>
      </w:pPr>
      <w:r>
        <w:rPr>
          <w:rFonts w:ascii="Lato" w:eastAsia="Lato" w:hAnsi="Lato" w:cs="Lato"/>
          <w:sz w:val="27"/>
        </w:rPr>
        <w:t>Fractures come with complications such as delirium and deep vein thromboembolism. These complications lead to further interventions and prolonged hospital stays (Ambrose, Cruz, and Paul, 2015).</w:t>
      </w:r>
      <w:r>
        <w:rPr>
          <w:rFonts w:ascii="Lato" w:eastAsia="Lato" w:hAnsi="Lato" w:cs="Lato"/>
          <w:b/>
          <w:sz w:val="27"/>
        </w:rPr>
        <w:t xml:space="preserve"> </w:t>
      </w:r>
    </w:p>
    <w:p w14:paraId="56C11E99" w14:textId="77777777" w:rsidR="000D22CB" w:rsidRDefault="00A64362">
      <w:pPr>
        <w:spacing w:after="0"/>
      </w:pPr>
      <w:r>
        <w:rPr>
          <w:rFonts w:ascii="Lato" w:eastAsia="Lato" w:hAnsi="Lato" w:cs="Lato"/>
          <w:b/>
          <w:sz w:val="27"/>
        </w:rPr>
        <w:t xml:space="preserve"> </w:t>
      </w:r>
    </w:p>
    <w:p w14:paraId="49BFB98F" w14:textId="77777777" w:rsidR="000D22CB" w:rsidRDefault="00A64362">
      <w:pPr>
        <w:spacing w:after="0"/>
      </w:pPr>
      <w:r>
        <w:rPr>
          <w:rFonts w:ascii="Lato" w:eastAsia="Lato" w:hAnsi="Lato" w:cs="Lato"/>
          <w:b/>
          <w:sz w:val="27"/>
        </w:rPr>
        <w:t xml:space="preserve"> </w:t>
      </w:r>
    </w:p>
    <w:p w14:paraId="5B3E84F4" w14:textId="77777777" w:rsidR="000D22CB" w:rsidRDefault="00A64362">
      <w:pPr>
        <w:spacing w:after="0"/>
      </w:pPr>
      <w:r>
        <w:rPr>
          <w:rFonts w:ascii="Lato" w:eastAsia="Lato" w:hAnsi="Lato" w:cs="Lato"/>
          <w:b/>
          <w:sz w:val="27"/>
        </w:rPr>
        <w:t xml:space="preserve"> </w:t>
      </w:r>
    </w:p>
    <w:p w14:paraId="087F74F6" w14:textId="77777777" w:rsidR="000D22CB" w:rsidRDefault="00A64362">
      <w:pPr>
        <w:spacing w:after="0"/>
      </w:pPr>
      <w:r>
        <w:rPr>
          <w:rFonts w:ascii="Lato" w:eastAsia="Lato" w:hAnsi="Lato" w:cs="Lato"/>
          <w:color w:val="4471C4"/>
          <w:sz w:val="27"/>
        </w:rPr>
        <w:t xml:space="preserve"> </w:t>
      </w:r>
    </w:p>
    <w:p w14:paraId="1CB6BF8F" w14:textId="77777777" w:rsidR="000D22CB" w:rsidRDefault="00A64362">
      <w:pPr>
        <w:spacing w:after="0"/>
        <w:ind w:left="-5" w:hanging="10"/>
      </w:pPr>
      <w:r>
        <w:rPr>
          <w:rFonts w:ascii="Lato" w:eastAsia="Lato" w:hAnsi="Lato" w:cs="Lato"/>
          <w:color w:val="4471C4"/>
          <w:sz w:val="27"/>
        </w:rPr>
        <w:lastRenderedPageBreak/>
        <w:t xml:space="preserve">Head injuries. </w:t>
      </w:r>
    </w:p>
    <w:p w14:paraId="29DFA1A6" w14:textId="77777777" w:rsidR="000D22CB" w:rsidRDefault="00A64362">
      <w:pPr>
        <w:spacing w:after="0"/>
      </w:pPr>
      <w:r>
        <w:rPr>
          <w:rFonts w:ascii="Lato" w:eastAsia="Lato" w:hAnsi="Lato" w:cs="Lato"/>
          <w:color w:val="4471C4"/>
          <w:sz w:val="27"/>
        </w:rPr>
        <w:t xml:space="preserve"> </w:t>
      </w:r>
    </w:p>
    <w:p w14:paraId="034928D6" w14:textId="77777777" w:rsidR="000D22CB" w:rsidRDefault="00A64362">
      <w:pPr>
        <w:spacing w:after="4" w:line="250" w:lineRule="auto"/>
        <w:ind w:left="345" w:right="971"/>
      </w:pPr>
      <w:r>
        <w:rPr>
          <w:rFonts w:ascii="Lato" w:eastAsia="Lato" w:hAnsi="Lato" w:cs="Lato"/>
          <w:sz w:val="27"/>
        </w:rPr>
        <w:t xml:space="preserve">Figure 4: Primary part of the body part injured in fall emergency department visits and whether alcohol is indicated (Shakya </w:t>
      </w:r>
      <w:r>
        <w:rPr>
          <w:rFonts w:ascii="Lato" w:eastAsia="Lato" w:hAnsi="Lato" w:cs="Lato"/>
          <w:i/>
          <w:sz w:val="27"/>
        </w:rPr>
        <w:t>et al</w:t>
      </w:r>
      <w:r>
        <w:rPr>
          <w:rFonts w:ascii="Lato" w:eastAsia="Lato" w:hAnsi="Lato" w:cs="Lato"/>
          <w:sz w:val="27"/>
        </w:rPr>
        <w:t xml:space="preserve">., 2020). </w:t>
      </w:r>
    </w:p>
    <w:p w14:paraId="28B050D1" w14:textId="77777777" w:rsidR="000D22CB" w:rsidRDefault="00A64362">
      <w:pPr>
        <w:spacing w:after="0"/>
      </w:pPr>
      <w:r>
        <w:rPr>
          <w:rFonts w:ascii="Lato" w:eastAsia="Lato" w:hAnsi="Lato" w:cs="Lato"/>
          <w:color w:val="4471C4"/>
          <w:sz w:val="27"/>
        </w:rPr>
        <w:t xml:space="preserve"> </w:t>
      </w:r>
    </w:p>
    <w:p w14:paraId="0F1928D0" w14:textId="77777777" w:rsidR="000D22CB" w:rsidRDefault="00A64362">
      <w:pPr>
        <w:spacing w:after="0"/>
        <w:ind w:left="360"/>
      </w:pPr>
      <w:r>
        <w:rPr>
          <w:rFonts w:ascii="Lato" w:eastAsia="Lato" w:hAnsi="Lato" w:cs="Lato"/>
          <w:sz w:val="27"/>
        </w:rPr>
        <w:t xml:space="preserve"> </w:t>
      </w:r>
    </w:p>
    <w:p w14:paraId="533F7799" w14:textId="77777777" w:rsidR="000D22CB" w:rsidRDefault="00A64362">
      <w:pPr>
        <w:spacing w:after="32" w:line="216" w:lineRule="auto"/>
        <w:ind w:right="1406" w:firstLine="360"/>
      </w:pPr>
      <w:r>
        <w:rPr>
          <w:noProof/>
        </w:rPr>
        <w:drawing>
          <wp:inline distT="0" distB="0" distL="0" distR="0" wp14:anchorId="3F296CB3" wp14:editId="333BDF94">
            <wp:extent cx="5181209" cy="2957830"/>
            <wp:effectExtent l="0" t="0" r="0" b="0"/>
            <wp:docPr id="1386" name="Picture 1386"/>
            <wp:cNvGraphicFramePr/>
            <a:graphic xmlns:a="http://schemas.openxmlformats.org/drawingml/2006/main">
              <a:graphicData uri="http://schemas.openxmlformats.org/drawingml/2006/picture">
                <pic:pic xmlns:pic="http://schemas.openxmlformats.org/drawingml/2006/picture">
                  <pic:nvPicPr>
                    <pic:cNvPr id="1386" name="Picture 1386"/>
                    <pic:cNvPicPr/>
                  </pic:nvPicPr>
                  <pic:blipFill>
                    <a:blip r:embed="rId11"/>
                    <a:stretch>
                      <a:fillRect/>
                    </a:stretch>
                  </pic:blipFill>
                  <pic:spPr>
                    <a:xfrm>
                      <a:off x="0" y="0"/>
                      <a:ext cx="5181209" cy="2957830"/>
                    </a:xfrm>
                    <a:prstGeom prst="rect">
                      <a:avLst/>
                    </a:prstGeom>
                  </pic:spPr>
                </pic:pic>
              </a:graphicData>
            </a:graphic>
          </wp:inline>
        </w:drawing>
      </w:r>
      <w:r>
        <w:rPr>
          <w:rFonts w:ascii="Lato" w:eastAsia="Lato" w:hAnsi="Lato" w:cs="Lato"/>
          <w:sz w:val="27"/>
        </w:rPr>
        <w:t xml:space="preserve">  </w:t>
      </w:r>
    </w:p>
    <w:p w14:paraId="44DBFFB9" w14:textId="77777777" w:rsidR="000D22CB" w:rsidRDefault="00A64362">
      <w:pPr>
        <w:numPr>
          <w:ilvl w:val="0"/>
          <w:numId w:val="1"/>
        </w:numPr>
        <w:spacing w:after="4" w:line="250" w:lineRule="auto"/>
        <w:ind w:right="971" w:hanging="360"/>
      </w:pPr>
      <w:r>
        <w:rPr>
          <w:rFonts w:ascii="Lato" w:eastAsia="Lato" w:hAnsi="Lato" w:cs="Lato"/>
          <w:sz w:val="27"/>
        </w:rPr>
        <w:t xml:space="preserve">More head injuries in alcohol-related ED visits (34.8%) as compared to non-alcohol-related emergency department visits (17%). (Shakya </w:t>
      </w:r>
      <w:r>
        <w:rPr>
          <w:rFonts w:ascii="Lato" w:eastAsia="Lato" w:hAnsi="Lato" w:cs="Lato"/>
          <w:i/>
          <w:sz w:val="27"/>
        </w:rPr>
        <w:t>et al</w:t>
      </w:r>
      <w:r>
        <w:rPr>
          <w:rFonts w:ascii="Lato" w:eastAsia="Lato" w:hAnsi="Lato" w:cs="Lato"/>
          <w:sz w:val="27"/>
        </w:rPr>
        <w:t xml:space="preserve">., 2020; Yuan </w:t>
      </w:r>
      <w:r>
        <w:rPr>
          <w:rFonts w:ascii="Lato" w:eastAsia="Lato" w:hAnsi="Lato" w:cs="Lato"/>
          <w:i/>
          <w:sz w:val="27"/>
        </w:rPr>
        <w:t>et al</w:t>
      </w:r>
      <w:r>
        <w:rPr>
          <w:rFonts w:ascii="Lato" w:eastAsia="Lato" w:hAnsi="Lato" w:cs="Lato"/>
          <w:sz w:val="27"/>
        </w:rPr>
        <w:t xml:space="preserve">., 2023, Kim </w:t>
      </w:r>
      <w:r>
        <w:rPr>
          <w:rFonts w:ascii="Lato" w:eastAsia="Lato" w:hAnsi="Lato" w:cs="Lato"/>
          <w:i/>
          <w:sz w:val="27"/>
        </w:rPr>
        <w:t>et al</w:t>
      </w:r>
      <w:r>
        <w:rPr>
          <w:rFonts w:ascii="Lato" w:eastAsia="Lato" w:hAnsi="Lato" w:cs="Lato"/>
          <w:sz w:val="27"/>
        </w:rPr>
        <w:t xml:space="preserve">., 2021). </w:t>
      </w:r>
    </w:p>
    <w:p w14:paraId="46EE3F90" w14:textId="77777777" w:rsidR="000D22CB" w:rsidRDefault="00A64362">
      <w:pPr>
        <w:spacing w:after="0"/>
        <w:ind w:left="720"/>
      </w:pPr>
      <w:r>
        <w:rPr>
          <w:rFonts w:ascii="Lato" w:eastAsia="Lato" w:hAnsi="Lato" w:cs="Lato"/>
          <w:sz w:val="27"/>
        </w:rPr>
        <w:t xml:space="preserve"> </w:t>
      </w:r>
    </w:p>
    <w:p w14:paraId="3D094B9B" w14:textId="77777777" w:rsidR="000D22CB" w:rsidRDefault="00A64362">
      <w:pPr>
        <w:numPr>
          <w:ilvl w:val="0"/>
          <w:numId w:val="1"/>
        </w:numPr>
        <w:spacing w:after="4" w:line="250" w:lineRule="auto"/>
        <w:ind w:right="971" w:hanging="360"/>
      </w:pPr>
      <w:r>
        <w:rPr>
          <w:rFonts w:ascii="Lato" w:eastAsia="Lato" w:hAnsi="Lato" w:cs="Lato"/>
          <w:sz w:val="27"/>
        </w:rPr>
        <w:t xml:space="preserve">Alcohol intoxication is a strong predictor of traumatic brain injury (TBI) and a substantial proportion of TBIs occur in intoxicated individuals, up to 30%. (Weil, Corrigan and </w:t>
      </w:r>
      <w:proofErr w:type="spellStart"/>
      <w:r>
        <w:rPr>
          <w:rFonts w:ascii="Lato" w:eastAsia="Lato" w:hAnsi="Lato" w:cs="Lato"/>
          <w:sz w:val="27"/>
        </w:rPr>
        <w:t>Karelina</w:t>
      </w:r>
      <w:proofErr w:type="spellEnd"/>
      <w:r>
        <w:rPr>
          <w:rFonts w:ascii="Lato" w:eastAsia="Lato" w:hAnsi="Lato" w:cs="Lato"/>
          <w:sz w:val="27"/>
        </w:rPr>
        <w:t xml:space="preserve">, 2018; Friedland, Brunton and Potts, 2013). </w:t>
      </w:r>
    </w:p>
    <w:p w14:paraId="28A66069" w14:textId="77777777" w:rsidR="000D22CB" w:rsidRDefault="00A64362">
      <w:pPr>
        <w:spacing w:after="0"/>
      </w:pPr>
      <w:r>
        <w:rPr>
          <w:rFonts w:ascii="Lato" w:eastAsia="Lato" w:hAnsi="Lato" w:cs="Lato"/>
          <w:sz w:val="27"/>
        </w:rPr>
        <w:t xml:space="preserve"> </w:t>
      </w:r>
    </w:p>
    <w:p w14:paraId="11CD7397" w14:textId="77777777" w:rsidR="000D22CB" w:rsidRDefault="00A64362">
      <w:pPr>
        <w:numPr>
          <w:ilvl w:val="0"/>
          <w:numId w:val="1"/>
        </w:numPr>
        <w:spacing w:after="4" w:line="250" w:lineRule="auto"/>
        <w:ind w:right="971" w:hanging="360"/>
      </w:pPr>
      <w:r>
        <w:rPr>
          <w:rFonts w:ascii="Lato" w:eastAsia="Lato" w:hAnsi="Lato" w:cs="Lato"/>
          <w:sz w:val="27"/>
        </w:rPr>
        <w:t>Compared to sober patients, alcohol-intoxicated patients are likely to have head injuries due to falls (</w:t>
      </w:r>
      <w:proofErr w:type="spellStart"/>
      <w:r>
        <w:rPr>
          <w:rFonts w:ascii="Lato" w:eastAsia="Lato" w:hAnsi="Lato" w:cs="Lato"/>
          <w:sz w:val="27"/>
        </w:rPr>
        <w:t>Chatha</w:t>
      </w:r>
      <w:proofErr w:type="spellEnd"/>
      <w:r>
        <w:rPr>
          <w:rFonts w:ascii="Lato" w:eastAsia="Lato" w:hAnsi="Lato" w:cs="Lato"/>
          <w:sz w:val="27"/>
        </w:rPr>
        <w:t xml:space="preserve"> </w:t>
      </w:r>
      <w:r>
        <w:rPr>
          <w:rFonts w:ascii="Lato" w:eastAsia="Lato" w:hAnsi="Lato" w:cs="Lato"/>
          <w:i/>
          <w:sz w:val="27"/>
        </w:rPr>
        <w:t>et al</w:t>
      </w:r>
      <w:r>
        <w:rPr>
          <w:rFonts w:ascii="Lato" w:eastAsia="Lato" w:hAnsi="Lato" w:cs="Lato"/>
          <w:sz w:val="27"/>
        </w:rPr>
        <w:t xml:space="preserve">., 2017). </w:t>
      </w:r>
    </w:p>
    <w:p w14:paraId="11D81A5C" w14:textId="77777777" w:rsidR="000D22CB" w:rsidRDefault="00A64362">
      <w:pPr>
        <w:spacing w:after="0"/>
        <w:ind w:left="360"/>
      </w:pPr>
      <w:r>
        <w:rPr>
          <w:rFonts w:ascii="Lato" w:eastAsia="Lato" w:hAnsi="Lato" w:cs="Lato"/>
          <w:sz w:val="27"/>
        </w:rPr>
        <w:t xml:space="preserve"> </w:t>
      </w:r>
    </w:p>
    <w:p w14:paraId="2A77FF3C" w14:textId="77777777" w:rsidR="000D22CB" w:rsidRDefault="00A64362">
      <w:pPr>
        <w:spacing w:after="0"/>
        <w:ind w:left="370" w:hanging="10"/>
      </w:pPr>
      <w:r>
        <w:rPr>
          <w:rFonts w:ascii="Lato" w:eastAsia="Lato" w:hAnsi="Lato" w:cs="Lato"/>
          <w:color w:val="4471C4"/>
          <w:sz w:val="27"/>
        </w:rPr>
        <w:t xml:space="preserve">Hospitalisations. </w:t>
      </w:r>
    </w:p>
    <w:p w14:paraId="58876308" w14:textId="77777777" w:rsidR="000D22CB" w:rsidRDefault="00A64362">
      <w:pPr>
        <w:spacing w:after="0"/>
        <w:ind w:left="360"/>
      </w:pPr>
      <w:r>
        <w:rPr>
          <w:rFonts w:ascii="Lato" w:eastAsia="Lato" w:hAnsi="Lato" w:cs="Lato"/>
          <w:sz w:val="27"/>
        </w:rPr>
        <w:t xml:space="preserve"> </w:t>
      </w:r>
    </w:p>
    <w:p w14:paraId="5CEF199F" w14:textId="77777777" w:rsidR="000D22CB" w:rsidRDefault="00A64362">
      <w:pPr>
        <w:numPr>
          <w:ilvl w:val="0"/>
          <w:numId w:val="1"/>
        </w:numPr>
        <w:spacing w:after="4" w:line="250" w:lineRule="auto"/>
        <w:ind w:right="971" w:hanging="360"/>
      </w:pPr>
      <w:r>
        <w:rPr>
          <w:rFonts w:ascii="Lato" w:eastAsia="Lato" w:hAnsi="Lato" w:cs="Lato"/>
          <w:sz w:val="27"/>
        </w:rPr>
        <w:t xml:space="preserve">More hospitalisations due to the severity of alcohol-related falls as compared to non-alcohol-related falls (Shakya </w:t>
      </w:r>
      <w:r>
        <w:rPr>
          <w:rFonts w:ascii="Lato" w:eastAsia="Lato" w:hAnsi="Lato" w:cs="Lato"/>
          <w:i/>
          <w:sz w:val="27"/>
        </w:rPr>
        <w:t>et al</w:t>
      </w:r>
      <w:r>
        <w:rPr>
          <w:rFonts w:ascii="Lato" w:eastAsia="Lato" w:hAnsi="Lato" w:cs="Lato"/>
          <w:sz w:val="27"/>
        </w:rPr>
        <w:t xml:space="preserve">., 2020). </w:t>
      </w:r>
    </w:p>
    <w:p w14:paraId="5BB6E24B" w14:textId="77777777" w:rsidR="000D22CB" w:rsidRDefault="00A64362">
      <w:pPr>
        <w:spacing w:after="0"/>
        <w:ind w:left="360"/>
      </w:pPr>
      <w:r>
        <w:rPr>
          <w:rFonts w:ascii="Lato" w:eastAsia="Lato" w:hAnsi="Lato" w:cs="Lato"/>
          <w:sz w:val="27"/>
        </w:rPr>
        <w:t xml:space="preserve"> </w:t>
      </w:r>
    </w:p>
    <w:p w14:paraId="121448EA" w14:textId="77777777" w:rsidR="000D22CB" w:rsidRDefault="00A64362">
      <w:pPr>
        <w:numPr>
          <w:ilvl w:val="0"/>
          <w:numId w:val="1"/>
        </w:numPr>
        <w:spacing w:after="4" w:line="250" w:lineRule="auto"/>
        <w:ind w:right="971" w:hanging="360"/>
      </w:pPr>
      <w:r>
        <w:rPr>
          <w:rFonts w:ascii="Lato" w:eastAsia="Lato" w:hAnsi="Lato" w:cs="Lato"/>
          <w:sz w:val="27"/>
        </w:rPr>
        <w:t xml:space="preserve">Alcohol misuse is also linked to an increased risk of osteoporosis and fragility fractures (Stevens, 2005; Bye, </w:t>
      </w:r>
      <w:proofErr w:type="spellStart"/>
      <w:r>
        <w:rPr>
          <w:rFonts w:ascii="Lato" w:eastAsia="Lato" w:hAnsi="Lato" w:cs="Lato"/>
          <w:sz w:val="27"/>
        </w:rPr>
        <w:t>Bogstrand</w:t>
      </w:r>
      <w:proofErr w:type="spellEnd"/>
      <w:r>
        <w:rPr>
          <w:rFonts w:ascii="Lato" w:eastAsia="Lato" w:hAnsi="Lato" w:cs="Lato"/>
          <w:sz w:val="27"/>
        </w:rPr>
        <w:t xml:space="preserve"> and Rossow, 2021). </w:t>
      </w:r>
    </w:p>
    <w:p w14:paraId="2F3E018A" w14:textId="77777777" w:rsidR="000D22CB" w:rsidRDefault="00A64362">
      <w:pPr>
        <w:spacing w:after="0"/>
        <w:ind w:left="360"/>
      </w:pPr>
      <w:r>
        <w:rPr>
          <w:rFonts w:ascii="Lato" w:eastAsia="Lato" w:hAnsi="Lato" w:cs="Lato"/>
          <w:sz w:val="27"/>
        </w:rPr>
        <w:t xml:space="preserve"> </w:t>
      </w:r>
    </w:p>
    <w:p w14:paraId="78CDDE60" w14:textId="77777777" w:rsidR="000D22CB" w:rsidRDefault="00A64362">
      <w:pPr>
        <w:numPr>
          <w:ilvl w:val="0"/>
          <w:numId w:val="1"/>
        </w:numPr>
        <w:spacing w:after="4" w:line="250" w:lineRule="auto"/>
        <w:ind w:right="971" w:hanging="360"/>
      </w:pPr>
      <w:r>
        <w:rPr>
          <w:rFonts w:ascii="Lato" w:eastAsia="Lato" w:hAnsi="Lato" w:cs="Lato"/>
          <w:sz w:val="27"/>
        </w:rPr>
        <w:t xml:space="preserve">Alcohol-related injury patients spend more time hospitalised than non-alcohol-related injury patients (Shakya </w:t>
      </w:r>
      <w:r>
        <w:rPr>
          <w:rFonts w:ascii="Lato" w:eastAsia="Lato" w:hAnsi="Lato" w:cs="Lato"/>
          <w:i/>
          <w:sz w:val="27"/>
        </w:rPr>
        <w:t>et al</w:t>
      </w:r>
      <w:r>
        <w:rPr>
          <w:rFonts w:ascii="Lato" w:eastAsia="Lato" w:hAnsi="Lato" w:cs="Lato"/>
          <w:sz w:val="27"/>
        </w:rPr>
        <w:t xml:space="preserve">., 2020). </w:t>
      </w:r>
    </w:p>
    <w:p w14:paraId="0CD90183" w14:textId="77777777" w:rsidR="000D22CB" w:rsidRDefault="00A64362">
      <w:pPr>
        <w:spacing w:after="0"/>
      </w:pPr>
      <w:r>
        <w:rPr>
          <w:rFonts w:ascii="Lato" w:eastAsia="Lato" w:hAnsi="Lato" w:cs="Lato"/>
          <w:sz w:val="27"/>
        </w:rPr>
        <w:lastRenderedPageBreak/>
        <w:t xml:space="preserve"> </w:t>
      </w:r>
    </w:p>
    <w:p w14:paraId="7C1BC2FF" w14:textId="77777777" w:rsidR="000D22CB" w:rsidRDefault="00A64362">
      <w:pPr>
        <w:spacing w:after="4" w:line="253" w:lineRule="auto"/>
        <w:ind w:right="971"/>
      </w:pPr>
      <w:r>
        <w:rPr>
          <w:rFonts w:ascii="Lato" w:eastAsia="Lato" w:hAnsi="Lato" w:cs="Lato"/>
          <w:b/>
          <w:sz w:val="27"/>
        </w:rPr>
        <w:t xml:space="preserve">The main recommendations put forward by the above papers include: </w:t>
      </w:r>
    </w:p>
    <w:p w14:paraId="5014AA9F" w14:textId="77777777" w:rsidR="000D22CB" w:rsidRDefault="00A64362">
      <w:pPr>
        <w:spacing w:after="0"/>
        <w:ind w:left="360"/>
      </w:pPr>
      <w:r>
        <w:rPr>
          <w:rFonts w:ascii="Lato" w:eastAsia="Lato" w:hAnsi="Lato" w:cs="Lato"/>
          <w:b/>
          <w:sz w:val="27"/>
        </w:rPr>
        <w:t xml:space="preserve"> </w:t>
      </w:r>
    </w:p>
    <w:p w14:paraId="43E26483" w14:textId="3DC8A9C1" w:rsidR="000D22CB" w:rsidRDefault="00A64362">
      <w:pPr>
        <w:numPr>
          <w:ilvl w:val="0"/>
          <w:numId w:val="1"/>
        </w:numPr>
        <w:spacing w:after="4" w:line="253" w:lineRule="auto"/>
        <w:ind w:right="971" w:hanging="360"/>
      </w:pPr>
      <w:r>
        <w:rPr>
          <w:rFonts w:ascii="Lato" w:eastAsia="Lato" w:hAnsi="Lato" w:cs="Lato"/>
          <w:b/>
          <w:sz w:val="27"/>
        </w:rPr>
        <w:t>Understanding the link between different factors and falls may be beneficial to reducing the number and severity of alcohol-related injuries</w:t>
      </w:r>
      <w:r w:rsidR="00D30E17">
        <w:rPr>
          <w:rFonts w:ascii="Lato" w:eastAsia="Lato" w:hAnsi="Lato" w:cs="Lato"/>
          <w:b/>
          <w:sz w:val="27"/>
        </w:rPr>
        <w:t xml:space="preserve">. </w:t>
      </w:r>
    </w:p>
    <w:p w14:paraId="5F36CBC1" w14:textId="77777777" w:rsidR="000D22CB" w:rsidRDefault="00A64362">
      <w:pPr>
        <w:spacing w:after="0"/>
        <w:ind w:left="720"/>
      </w:pPr>
      <w:r>
        <w:rPr>
          <w:rFonts w:ascii="Lato" w:eastAsia="Lato" w:hAnsi="Lato" w:cs="Lato"/>
          <w:b/>
          <w:sz w:val="27"/>
        </w:rPr>
        <w:t xml:space="preserve"> </w:t>
      </w:r>
    </w:p>
    <w:p w14:paraId="5433A6F8" w14:textId="77777777" w:rsidR="000D22CB" w:rsidRDefault="00A64362">
      <w:pPr>
        <w:numPr>
          <w:ilvl w:val="0"/>
          <w:numId w:val="1"/>
        </w:numPr>
        <w:spacing w:after="4" w:line="253" w:lineRule="auto"/>
        <w:ind w:right="971" w:hanging="360"/>
      </w:pPr>
      <w:r>
        <w:rPr>
          <w:rFonts w:ascii="Lato" w:eastAsia="Lato" w:hAnsi="Lato" w:cs="Lato"/>
          <w:b/>
          <w:sz w:val="27"/>
        </w:rPr>
        <w:t xml:space="preserve">The recommendations for the use of supplements in elderly ladies to reduce the severity of injuries sustained in falls. </w:t>
      </w:r>
    </w:p>
    <w:p w14:paraId="5C995B99" w14:textId="77777777" w:rsidR="000D22CB" w:rsidRDefault="00A64362">
      <w:pPr>
        <w:spacing w:after="0"/>
        <w:ind w:left="360"/>
      </w:pPr>
      <w:r>
        <w:rPr>
          <w:rFonts w:ascii="Lato" w:eastAsia="Lato" w:hAnsi="Lato" w:cs="Lato"/>
          <w:b/>
          <w:sz w:val="27"/>
        </w:rPr>
        <w:t xml:space="preserve"> </w:t>
      </w:r>
    </w:p>
    <w:p w14:paraId="025BDED1" w14:textId="77777777" w:rsidR="000D22CB" w:rsidRDefault="00A64362">
      <w:pPr>
        <w:numPr>
          <w:ilvl w:val="0"/>
          <w:numId w:val="1"/>
        </w:numPr>
        <w:spacing w:after="4" w:line="253" w:lineRule="auto"/>
        <w:ind w:right="971" w:hanging="360"/>
      </w:pPr>
      <w:r>
        <w:rPr>
          <w:rFonts w:ascii="Lato" w:eastAsia="Lato" w:hAnsi="Lato" w:cs="Lato"/>
          <w:b/>
          <w:sz w:val="27"/>
        </w:rPr>
        <w:t xml:space="preserve">Diverting alcohol-related injuries from other injuries in EDs due to the severity of these injuries may be a viable option. </w:t>
      </w:r>
    </w:p>
    <w:p w14:paraId="197FB06D" w14:textId="77777777" w:rsidR="000D22CB" w:rsidRDefault="00A64362">
      <w:pPr>
        <w:spacing w:after="0"/>
        <w:ind w:left="360"/>
      </w:pPr>
      <w:r>
        <w:rPr>
          <w:rFonts w:ascii="Lato" w:eastAsia="Lato" w:hAnsi="Lato" w:cs="Lato"/>
          <w:sz w:val="27"/>
        </w:rPr>
        <w:t xml:space="preserve"> </w:t>
      </w:r>
    </w:p>
    <w:p w14:paraId="529FF76D" w14:textId="77777777" w:rsidR="000D22CB" w:rsidRDefault="00A64362">
      <w:pPr>
        <w:spacing w:after="348"/>
      </w:pPr>
      <w:r>
        <w:rPr>
          <w:rFonts w:ascii="Lato" w:eastAsia="Lato" w:hAnsi="Lato" w:cs="Lato"/>
          <w:sz w:val="27"/>
        </w:rPr>
        <w:t xml:space="preserve"> </w:t>
      </w:r>
    </w:p>
    <w:p w14:paraId="5DE3F96C" w14:textId="77777777" w:rsidR="000D22CB" w:rsidRDefault="00A64362">
      <w:pPr>
        <w:spacing w:after="1"/>
        <w:ind w:left="-5" w:hanging="10"/>
      </w:pPr>
      <w:r>
        <w:rPr>
          <w:rFonts w:ascii="Lato" w:eastAsia="Lato" w:hAnsi="Lato" w:cs="Lato"/>
          <w:b/>
          <w:color w:val="2E5496"/>
          <w:sz w:val="40"/>
        </w:rPr>
        <w:t xml:space="preserve">Costs of alcohol-related injuries. </w:t>
      </w:r>
    </w:p>
    <w:p w14:paraId="0DE4827F" w14:textId="77777777" w:rsidR="000D22CB" w:rsidRDefault="00A64362">
      <w:pPr>
        <w:spacing w:after="0"/>
      </w:pPr>
      <w:r>
        <w:rPr>
          <w:rFonts w:ascii="Lato" w:eastAsia="Lato" w:hAnsi="Lato" w:cs="Lato"/>
          <w:sz w:val="27"/>
        </w:rPr>
        <w:t xml:space="preserve"> </w:t>
      </w:r>
    </w:p>
    <w:p w14:paraId="126F08F2" w14:textId="77777777" w:rsidR="000D22CB" w:rsidRDefault="00A64362">
      <w:pPr>
        <w:numPr>
          <w:ilvl w:val="0"/>
          <w:numId w:val="1"/>
        </w:numPr>
        <w:spacing w:after="4" w:line="250" w:lineRule="auto"/>
        <w:ind w:right="971" w:hanging="360"/>
      </w:pPr>
      <w:r>
        <w:rPr>
          <w:rFonts w:ascii="Lato" w:eastAsia="Lato" w:hAnsi="Lato" w:cs="Lato"/>
          <w:sz w:val="27"/>
        </w:rPr>
        <w:t xml:space="preserve">Alcohol and alcohol falls cost society in numerous ways such as the cost to the healthcare system, cost to the justice system, economic costs due to loss of productivity and cost to social services </w:t>
      </w:r>
    </w:p>
    <w:p w14:paraId="48B6F857" w14:textId="77777777" w:rsidR="000D22CB" w:rsidRDefault="00A64362">
      <w:pPr>
        <w:spacing w:after="0"/>
        <w:ind w:right="1067"/>
        <w:jc w:val="right"/>
      </w:pPr>
      <w:r>
        <w:rPr>
          <w:rFonts w:ascii="Lato" w:eastAsia="Lato" w:hAnsi="Lato" w:cs="Lato"/>
          <w:sz w:val="27"/>
        </w:rPr>
        <w:t>(</w:t>
      </w:r>
      <w:proofErr w:type="spellStart"/>
      <w:r>
        <w:rPr>
          <w:rFonts w:ascii="Lato" w:eastAsia="Lato" w:hAnsi="Lato" w:cs="Lato"/>
          <w:sz w:val="27"/>
        </w:rPr>
        <w:t>Grundstrom</w:t>
      </w:r>
      <w:proofErr w:type="spellEnd"/>
      <w:r>
        <w:rPr>
          <w:rFonts w:ascii="Lato" w:eastAsia="Lato" w:hAnsi="Lato" w:cs="Lato"/>
          <w:sz w:val="27"/>
        </w:rPr>
        <w:t xml:space="preserve">, Guse and </w:t>
      </w:r>
      <w:proofErr w:type="spellStart"/>
      <w:r>
        <w:rPr>
          <w:rFonts w:ascii="Lato" w:eastAsia="Lato" w:hAnsi="Lato" w:cs="Lato"/>
          <w:sz w:val="27"/>
        </w:rPr>
        <w:t>Layde</w:t>
      </w:r>
      <w:proofErr w:type="spellEnd"/>
      <w:r>
        <w:rPr>
          <w:rFonts w:ascii="Lato" w:eastAsia="Lato" w:hAnsi="Lato" w:cs="Lato"/>
          <w:sz w:val="27"/>
        </w:rPr>
        <w:t xml:space="preserve">, 2012; Ambrose, Cruz, and Paul, 2015). </w:t>
      </w:r>
    </w:p>
    <w:p w14:paraId="2E6205F0" w14:textId="77777777" w:rsidR="000D22CB" w:rsidRDefault="00A64362">
      <w:pPr>
        <w:spacing w:after="0"/>
      </w:pPr>
      <w:r>
        <w:rPr>
          <w:rFonts w:ascii="Lato" w:eastAsia="Lato" w:hAnsi="Lato" w:cs="Lato"/>
          <w:sz w:val="27"/>
        </w:rPr>
        <w:t xml:space="preserve"> </w:t>
      </w:r>
    </w:p>
    <w:p w14:paraId="018A83FC" w14:textId="77777777" w:rsidR="000D22CB" w:rsidRDefault="00A64362">
      <w:pPr>
        <w:numPr>
          <w:ilvl w:val="0"/>
          <w:numId w:val="1"/>
        </w:numPr>
        <w:spacing w:after="4" w:line="250" w:lineRule="auto"/>
        <w:ind w:right="971" w:hanging="360"/>
      </w:pPr>
      <w:r>
        <w:rPr>
          <w:rFonts w:ascii="Lato" w:eastAsia="Lato" w:hAnsi="Lato" w:cs="Lato"/>
          <w:sz w:val="27"/>
        </w:rPr>
        <w:t xml:space="preserve">Alcohol-related incidents reported cost the NHS an estimated £3.5 billion a year, accounting for 3.6% of its annual budget. The yearly cost of alcohol to society is estimated to be £21 billion (UK Parliament, 2023; Arnett and </w:t>
      </w:r>
      <w:proofErr w:type="spellStart"/>
      <w:r>
        <w:rPr>
          <w:rFonts w:ascii="Lato" w:eastAsia="Lato" w:hAnsi="Lato" w:cs="Lato"/>
          <w:sz w:val="27"/>
        </w:rPr>
        <w:t>Robineau</w:t>
      </w:r>
      <w:proofErr w:type="spellEnd"/>
      <w:r>
        <w:rPr>
          <w:rFonts w:ascii="Lato" w:eastAsia="Lato" w:hAnsi="Lato" w:cs="Lato"/>
          <w:sz w:val="27"/>
        </w:rPr>
        <w:t xml:space="preserve">, 2017). </w:t>
      </w:r>
    </w:p>
    <w:p w14:paraId="39F60C13" w14:textId="77777777" w:rsidR="000D22CB" w:rsidRDefault="00A64362">
      <w:pPr>
        <w:spacing w:after="0"/>
        <w:ind w:left="720"/>
      </w:pPr>
      <w:r>
        <w:rPr>
          <w:rFonts w:ascii="Lato" w:eastAsia="Lato" w:hAnsi="Lato" w:cs="Lato"/>
          <w:sz w:val="27"/>
        </w:rPr>
        <w:t xml:space="preserve"> </w:t>
      </w:r>
    </w:p>
    <w:p w14:paraId="2F3A1137" w14:textId="27895E29" w:rsidR="000D22CB" w:rsidRDefault="00A64362">
      <w:pPr>
        <w:numPr>
          <w:ilvl w:val="0"/>
          <w:numId w:val="1"/>
        </w:numPr>
        <w:spacing w:after="4" w:line="250" w:lineRule="auto"/>
        <w:ind w:right="971" w:hanging="360"/>
      </w:pPr>
      <w:r>
        <w:rPr>
          <w:rFonts w:ascii="Lato" w:eastAsia="Lato" w:hAnsi="Lato" w:cs="Lato"/>
          <w:sz w:val="27"/>
        </w:rPr>
        <w:t>Alcohol-related incidents accounted for 37% of ambulance time, more than 5% of hospital admissions and 25% of emergency department work. Compared to Scotland which had the lowest rate of alcohol</w:t>
      </w:r>
      <w:r w:rsidR="008E6234">
        <w:rPr>
          <w:rFonts w:ascii="Lato" w:eastAsia="Lato" w:hAnsi="Lato" w:cs="Lato"/>
          <w:sz w:val="27"/>
        </w:rPr>
        <w:t>-</w:t>
      </w:r>
      <w:r>
        <w:rPr>
          <w:rFonts w:ascii="Lato" w:eastAsia="Lato" w:hAnsi="Lato" w:cs="Lato"/>
          <w:sz w:val="27"/>
        </w:rPr>
        <w:t xml:space="preserve">related hospital admissions in 25 years after implementing its controversial minimum unit pricing (MUP) for alcohol to reduce alcohol intake (Boyd, 2023). </w:t>
      </w:r>
    </w:p>
    <w:p w14:paraId="61B347E4" w14:textId="77777777" w:rsidR="000D22CB" w:rsidRDefault="00A64362">
      <w:pPr>
        <w:spacing w:after="0"/>
      </w:pPr>
      <w:r>
        <w:rPr>
          <w:rFonts w:ascii="Lato" w:eastAsia="Lato" w:hAnsi="Lato" w:cs="Lato"/>
          <w:sz w:val="27"/>
        </w:rPr>
        <w:t xml:space="preserve"> </w:t>
      </w:r>
    </w:p>
    <w:p w14:paraId="35D9D8A9" w14:textId="32D40122" w:rsidR="000D22CB" w:rsidRDefault="00A64362">
      <w:pPr>
        <w:numPr>
          <w:ilvl w:val="0"/>
          <w:numId w:val="1"/>
        </w:numPr>
        <w:spacing w:after="4" w:line="250" w:lineRule="auto"/>
        <w:ind w:right="971" w:hanging="360"/>
      </w:pPr>
      <w:r>
        <w:rPr>
          <w:rFonts w:ascii="Lato" w:eastAsia="Lato" w:hAnsi="Lato" w:cs="Lato"/>
          <w:sz w:val="27"/>
        </w:rPr>
        <w:t xml:space="preserve">Alcohol Intoxication Management Services (AIMS) was implemented to reduce the strain of alcohol use on the NHS. It aimed to divert and manage </w:t>
      </w:r>
      <w:r w:rsidR="008E6234">
        <w:rPr>
          <w:rFonts w:ascii="Lato" w:eastAsia="Lato" w:hAnsi="Lato" w:cs="Lato"/>
          <w:sz w:val="27"/>
        </w:rPr>
        <w:t>alcohol related</w:t>
      </w:r>
      <w:r>
        <w:rPr>
          <w:rFonts w:ascii="Lato" w:eastAsia="Lato" w:hAnsi="Lato" w:cs="Lato"/>
          <w:sz w:val="27"/>
        </w:rPr>
        <w:t xml:space="preserve"> from EDs by using Drunk Tanks, Safe Havens, and Alcohol Treatment Centres (ATCs). However, there is no formal evaluation of the effectiveness of this program. (Irving </w:t>
      </w:r>
      <w:r>
        <w:rPr>
          <w:rFonts w:ascii="Lato" w:eastAsia="Lato" w:hAnsi="Lato" w:cs="Lato"/>
          <w:i/>
          <w:sz w:val="27"/>
        </w:rPr>
        <w:t>et al</w:t>
      </w:r>
      <w:r>
        <w:rPr>
          <w:rFonts w:ascii="Lato" w:eastAsia="Lato" w:hAnsi="Lato" w:cs="Lato"/>
          <w:sz w:val="27"/>
        </w:rPr>
        <w:t xml:space="preserve">., 2017). </w:t>
      </w:r>
    </w:p>
    <w:p w14:paraId="01599547" w14:textId="77777777" w:rsidR="000D22CB" w:rsidRDefault="00A64362">
      <w:pPr>
        <w:spacing w:after="0"/>
      </w:pPr>
      <w:r>
        <w:rPr>
          <w:rFonts w:ascii="Lato" w:eastAsia="Lato" w:hAnsi="Lato" w:cs="Lato"/>
          <w:sz w:val="27"/>
        </w:rPr>
        <w:t xml:space="preserve"> </w:t>
      </w:r>
    </w:p>
    <w:p w14:paraId="64C07C03" w14:textId="77777777" w:rsidR="000D22CB" w:rsidRDefault="00A64362">
      <w:pPr>
        <w:numPr>
          <w:ilvl w:val="0"/>
          <w:numId w:val="1"/>
        </w:numPr>
        <w:spacing w:after="4" w:line="250" w:lineRule="auto"/>
        <w:ind w:right="971" w:hanging="360"/>
      </w:pPr>
      <w:r>
        <w:rPr>
          <w:rFonts w:ascii="Lato" w:eastAsia="Lato" w:hAnsi="Lato" w:cs="Lato"/>
          <w:sz w:val="27"/>
        </w:rPr>
        <w:lastRenderedPageBreak/>
        <w:t xml:space="preserve">The National Drug Treatment Monitoring System (NDTMS) shows a predominantly white population in treatment for alcohol use (about 93% in 2018/2019) in England (Institute of Alcohol Studies, 2020). </w:t>
      </w:r>
    </w:p>
    <w:p w14:paraId="47627A46" w14:textId="77777777" w:rsidR="000D22CB" w:rsidRDefault="00A64362">
      <w:pPr>
        <w:spacing w:after="0"/>
        <w:ind w:left="720"/>
      </w:pPr>
      <w:r>
        <w:rPr>
          <w:rFonts w:ascii="Lato" w:eastAsia="Lato" w:hAnsi="Lato" w:cs="Lato"/>
          <w:sz w:val="27"/>
        </w:rPr>
        <w:t xml:space="preserve"> </w:t>
      </w:r>
    </w:p>
    <w:p w14:paraId="27F9A60C" w14:textId="77777777" w:rsidR="000D22CB" w:rsidRDefault="00A64362">
      <w:pPr>
        <w:numPr>
          <w:ilvl w:val="0"/>
          <w:numId w:val="1"/>
        </w:numPr>
        <w:spacing w:after="4" w:line="250" w:lineRule="auto"/>
        <w:ind w:right="971" w:hanging="360"/>
      </w:pPr>
      <w:r>
        <w:rPr>
          <w:rFonts w:ascii="Lato" w:eastAsia="Lato" w:hAnsi="Lato" w:cs="Lato"/>
          <w:sz w:val="27"/>
        </w:rPr>
        <w:t xml:space="preserve">The number of people in treatment for alcohol, the median age of 46 years, decreased from 2013/2014 at 17% to its lowest in 2017/2018 at 6% (Public Health England, 2018). </w:t>
      </w:r>
    </w:p>
    <w:p w14:paraId="2F63F34D" w14:textId="77777777" w:rsidR="000D22CB" w:rsidRDefault="00A64362">
      <w:pPr>
        <w:spacing w:after="0"/>
      </w:pPr>
      <w:r>
        <w:rPr>
          <w:rFonts w:ascii="Lato" w:eastAsia="Lato" w:hAnsi="Lato" w:cs="Lato"/>
          <w:sz w:val="27"/>
        </w:rPr>
        <w:t xml:space="preserve"> </w:t>
      </w:r>
    </w:p>
    <w:p w14:paraId="28799BC1" w14:textId="77777777" w:rsidR="000D22CB" w:rsidRDefault="00A64362">
      <w:pPr>
        <w:numPr>
          <w:ilvl w:val="0"/>
          <w:numId w:val="1"/>
        </w:numPr>
        <w:spacing w:after="4" w:line="250" w:lineRule="auto"/>
        <w:ind w:right="971" w:hanging="360"/>
      </w:pPr>
      <w:r>
        <w:rPr>
          <w:rFonts w:ascii="Lato" w:eastAsia="Lato" w:hAnsi="Lato" w:cs="Lato"/>
          <w:sz w:val="27"/>
        </w:rPr>
        <w:t xml:space="preserve">Alcohol treatment services are underutilised by people from Black and Minority Ethnic (BME) backgrounds. (Gleeson </w:t>
      </w:r>
      <w:r>
        <w:rPr>
          <w:rFonts w:ascii="Lato" w:eastAsia="Lato" w:hAnsi="Lato" w:cs="Lato"/>
          <w:i/>
          <w:sz w:val="27"/>
        </w:rPr>
        <w:t>et al</w:t>
      </w:r>
      <w:r>
        <w:rPr>
          <w:rFonts w:ascii="Lato" w:eastAsia="Lato" w:hAnsi="Lato" w:cs="Lato"/>
          <w:sz w:val="27"/>
        </w:rPr>
        <w:t xml:space="preserve">., 2019). </w:t>
      </w:r>
    </w:p>
    <w:p w14:paraId="5C58F93A" w14:textId="77777777" w:rsidR="000D22CB" w:rsidRDefault="00A64362">
      <w:pPr>
        <w:spacing w:after="0"/>
      </w:pPr>
      <w:r>
        <w:rPr>
          <w:rFonts w:ascii="Lato" w:eastAsia="Lato" w:hAnsi="Lato" w:cs="Lato"/>
          <w:sz w:val="27"/>
        </w:rPr>
        <w:t xml:space="preserve"> </w:t>
      </w:r>
    </w:p>
    <w:p w14:paraId="5C5E1629" w14:textId="77777777" w:rsidR="000D22CB" w:rsidRDefault="00A64362">
      <w:pPr>
        <w:numPr>
          <w:ilvl w:val="0"/>
          <w:numId w:val="1"/>
        </w:numPr>
        <w:spacing w:after="4" w:line="250" w:lineRule="auto"/>
        <w:ind w:right="971" w:hanging="360"/>
      </w:pPr>
      <w:r>
        <w:rPr>
          <w:rFonts w:ascii="Lato" w:eastAsia="Lato" w:hAnsi="Lato" w:cs="Lato"/>
          <w:sz w:val="27"/>
        </w:rPr>
        <w:t xml:space="preserve">There exist barriers that prevent people from minority ethnic backgrounds from accessing and using these alcohol treatment services. These barriers can be religious, lack of trust in the confidentiality of the service, community shame and stigma (Gleeson </w:t>
      </w:r>
      <w:r>
        <w:rPr>
          <w:rFonts w:ascii="Lato" w:eastAsia="Lato" w:hAnsi="Lato" w:cs="Lato"/>
          <w:i/>
          <w:sz w:val="27"/>
        </w:rPr>
        <w:t>et al</w:t>
      </w:r>
      <w:r>
        <w:rPr>
          <w:rFonts w:ascii="Lato" w:eastAsia="Lato" w:hAnsi="Lato" w:cs="Lato"/>
          <w:sz w:val="27"/>
        </w:rPr>
        <w:t xml:space="preserve">., 2019). </w:t>
      </w:r>
    </w:p>
    <w:p w14:paraId="208518E9" w14:textId="77777777" w:rsidR="000D22CB" w:rsidRDefault="00A64362">
      <w:pPr>
        <w:spacing w:after="0"/>
      </w:pPr>
      <w:r>
        <w:rPr>
          <w:rFonts w:ascii="Lato" w:eastAsia="Lato" w:hAnsi="Lato" w:cs="Lato"/>
          <w:sz w:val="27"/>
        </w:rPr>
        <w:t xml:space="preserve"> </w:t>
      </w:r>
    </w:p>
    <w:p w14:paraId="2D195958" w14:textId="77777777" w:rsidR="000D22CB" w:rsidRDefault="00A64362">
      <w:pPr>
        <w:spacing w:after="4" w:line="253" w:lineRule="auto"/>
        <w:ind w:right="971"/>
      </w:pPr>
      <w:r>
        <w:rPr>
          <w:rFonts w:ascii="Lato" w:eastAsia="Lato" w:hAnsi="Lato" w:cs="Lato"/>
          <w:b/>
          <w:sz w:val="27"/>
        </w:rPr>
        <w:t xml:space="preserve">The main recommendations put forward by the above papers include: </w:t>
      </w:r>
    </w:p>
    <w:p w14:paraId="40854F5F" w14:textId="77777777" w:rsidR="000D22CB" w:rsidRDefault="00A64362">
      <w:pPr>
        <w:spacing w:after="0"/>
      </w:pPr>
      <w:r>
        <w:rPr>
          <w:rFonts w:ascii="Lato" w:eastAsia="Lato" w:hAnsi="Lato" w:cs="Lato"/>
          <w:b/>
          <w:sz w:val="27"/>
        </w:rPr>
        <w:t xml:space="preserve"> </w:t>
      </w:r>
    </w:p>
    <w:p w14:paraId="5542D783" w14:textId="77777777" w:rsidR="000D22CB" w:rsidRDefault="00A64362">
      <w:pPr>
        <w:numPr>
          <w:ilvl w:val="0"/>
          <w:numId w:val="1"/>
        </w:numPr>
        <w:spacing w:after="4" w:line="253" w:lineRule="auto"/>
        <w:ind w:right="971" w:hanging="360"/>
      </w:pPr>
      <w:r>
        <w:rPr>
          <w:rFonts w:ascii="Lato" w:eastAsia="Lato" w:hAnsi="Lato" w:cs="Lato"/>
          <w:b/>
          <w:sz w:val="27"/>
        </w:rPr>
        <w:t xml:space="preserve">Community-based approaches such as limiting marketing, taxing, and increasing social responsibility should be considered. </w:t>
      </w:r>
    </w:p>
    <w:p w14:paraId="00529AEE" w14:textId="77777777" w:rsidR="000D22CB" w:rsidRDefault="00A64362">
      <w:pPr>
        <w:spacing w:after="0"/>
        <w:ind w:left="720"/>
      </w:pPr>
      <w:r>
        <w:rPr>
          <w:rFonts w:ascii="Lato" w:eastAsia="Lato" w:hAnsi="Lato" w:cs="Lato"/>
          <w:b/>
          <w:sz w:val="27"/>
        </w:rPr>
        <w:t xml:space="preserve"> </w:t>
      </w:r>
    </w:p>
    <w:p w14:paraId="7C0E43DF" w14:textId="77777777" w:rsidR="000D22CB" w:rsidRDefault="00A64362">
      <w:pPr>
        <w:numPr>
          <w:ilvl w:val="0"/>
          <w:numId w:val="1"/>
        </w:numPr>
        <w:spacing w:after="4" w:line="253" w:lineRule="auto"/>
        <w:ind w:right="971" w:hanging="360"/>
      </w:pPr>
      <w:r>
        <w:rPr>
          <w:rFonts w:ascii="Lato" w:eastAsia="Lato" w:hAnsi="Lato" w:cs="Lato"/>
          <w:b/>
          <w:sz w:val="27"/>
        </w:rPr>
        <w:t xml:space="preserve">Recent cuts to local and public health budgets mean prevention programs should be made sustainable to reap the benefits of these intervention programmes. </w:t>
      </w:r>
    </w:p>
    <w:p w14:paraId="4A4EB0AF" w14:textId="77777777" w:rsidR="000D22CB" w:rsidRDefault="00A64362">
      <w:pPr>
        <w:spacing w:after="0"/>
      </w:pPr>
      <w:r>
        <w:rPr>
          <w:rFonts w:ascii="Lato" w:eastAsia="Lato" w:hAnsi="Lato" w:cs="Lato"/>
          <w:b/>
          <w:sz w:val="27"/>
        </w:rPr>
        <w:t xml:space="preserve"> </w:t>
      </w:r>
    </w:p>
    <w:p w14:paraId="47DCF63A" w14:textId="77777777" w:rsidR="000D22CB" w:rsidRDefault="00A64362">
      <w:pPr>
        <w:numPr>
          <w:ilvl w:val="0"/>
          <w:numId w:val="1"/>
        </w:numPr>
        <w:spacing w:after="4" w:line="253" w:lineRule="auto"/>
        <w:ind w:right="971" w:hanging="360"/>
      </w:pPr>
      <w:r>
        <w:rPr>
          <w:rFonts w:ascii="Lato" w:eastAsia="Lato" w:hAnsi="Lato" w:cs="Lato"/>
          <w:b/>
          <w:sz w:val="27"/>
        </w:rPr>
        <w:t xml:space="preserve">Interventions should also take into context the cultural context of alcohol consumption while looking at the data to address the most affected group of alcohol-related falls. </w:t>
      </w:r>
    </w:p>
    <w:p w14:paraId="02DEE1F2" w14:textId="77777777" w:rsidR="000D22CB" w:rsidRDefault="00A64362">
      <w:pPr>
        <w:spacing w:after="0"/>
      </w:pPr>
      <w:r>
        <w:rPr>
          <w:rFonts w:ascii="Lato" w:eastAsia="Lato" w:hAnsi="Lato" w:cs="Lato"/>
          <w:b/>
          <w:sz w:val="27"/>
        </w:rPr>
        <w:t xml:space="preserve"> </w:t>
      </w:r>
    </w:p>
    <w:p w14:paraId="3B8EB058" w14:textId="77777777" w:rsidR="000D22CB" w:rsidRDefault="00A64362">
      <w:pPr>
        <w:numPr>
          <w:ilvl w:val="0"/>
          <w:numId w:val="1"/>
        </w:numPr>
        <w:spacing w:after="4" w:line="253" w:lineRule="auto"/>
        <w:ind w:right="971" w:hanging="360"/>
      </w:pPr>
      <w:r>
        <w:rPr>
          <w:rFonts w:ascii="Lato" w:eastAsia="Lato" w:hAnsi="Lato" w:cs="Lato"/>
          <w:b/>
          <w:sz w:val="27"/>
        </w:rPr>
        <w:t xml:space="preserve">Reasons for not engaging in intervention programs differ between and within communities. Intervention programs should be specific and target a particular group. </w:t>
      </w:r>
    </w:p>
    <w:p w14:paraId="6C0FF8FC" w14:textId="77777777" w:rsidR="000D22CB" w:rsidRDefault="00A64362">
      <w:pPr>
        <w:spacing w:after="0"/>
      </w:pPr>
      <w:r>
        <w:rPr>
          <w:rFonts w:ascii="Lato" w:eastAsia="Lato" w:hAnsi="Lato" w:cs="Lato"/>
          <w:b/>
          <w:sz w:val="27"/>
        </w:rPr>
        <w:t xml:space="preserve"> </w:t>
      </w:r>
    </w:p>
    <w:p w14:paraId="3BCFC44C" w14:textId="77777777" w:rsidR="000D22CB" w:rsidRDefault="00A64362">
      <w:pPr>
        <w:numPr>
          <w:ilvl w:val="0"/>
          <w:numId w:val="1"/>
        </w:numPr>
        <w:spacing w:after="4" w:line="253" w:lineRule="auto"/>
        <w:ind w:right="971" w:hanging="360"/>
      </w:pPr>
      <w:r>
        <w:rPr>
          <w:rFonts w:ascii="Lato" w:eastAsia="Lato" w:hAnsi="Lato" w:cs="Lato"/>
          <w:b/>
          <w:sz w:val="27"/>
        </w:rPr>
        <w:t xml:space="preserve">The definitions of ethnic groups are too broad and make it difficult to explore real minority groups to assess the reasons for drinking, tailoring a specific intervention for that group and barriers against accessing the intervention. </w:t>
      </w:r>
    </w:p>
    <w:p w14:paraId="2CAA6EE7" w14:textId="77777777" w:rsidR="000D22CB" w:rsidRDefault="00A64362">
      <w:pPr>
        <w:spacing w:after="0"/>
        <w:ind w:left="720"/>
      </w:pPr>
      <w:r>
        <w:rPr>
          <w:rFonts w:ascii="Lato" w:eastAsia="Lato" w:hAnsi="Lato" w:cs="Lato"/>
          <w:b/>
          <w:sz w:val="27"/>
        </w:rPr>
        <w:t xml:space="preserve"> </w:t>
      </w:r>
    </w:p>
    <w:p w14:paraId="216D5ED9" w14:textId="77777777" w:rsidR="000D22CB" w:rsidRDefault="00A64362">
      <w:pPr>
        <w:spacing w:after="0"/>
      </w:pPr>
      <w:r>
        <w:rPr>
          <w:rFonts w:ascii="Lato" w:eastAsia="Lato" w:hAnsi="Lato" w:cs="Lato"/>
          <w:b/>
          <w:sz w:val="27"/>
        </w:rPr>
        <w:t xml:space="preserve"> </w:t>
      </w:r>
    </w:p>
    <w:p w14:paraId="7BDC76E2" w14:textId="77777777" w:rsidR="000D22CB" w:rsidRDefault="00A64362">
      <w:pPr>
        <w:spacing w:after="0"/>
      </w:pPr>
      <w:r>
        <w:rPr>
          <w:rFonts w:ascii="Lato" w:eastAsia="Lato" w:hAnsi="Lato" w:cs="Lato"/>
          <w:sz w:val="27"/>
        </w:rPr>
        <w:t xml:space="preserve"> </w:t>
      </w:r>
    </w:p>
    <w:p w14:paraId="53C9A3F4" w14:textId="69471752" w:rsidR="000D22CB" w:rsidRDefault="00A64362">
      <w:pPr>
        <w:spacing w:after="1"/>
        <w:ind w:left="-5" w:hanging="10"/>
      </w:pPr>
      <w:r>
        <w:rPr>
          <w:rFonts w:ascii="Lato" w:eastAsia="Lato" w:hAnsi="Lato" w:cs="Lato"/>
          <w:b/>
          <w:color w:val="2E5496"/>
          <w:sz w:val="40"/>
        </w:rPr>
        <w:lastRenderedPageBreak/>
        <w:t>References</w:t>
      </w:r>
      <w:r w:rsidR="00D30E17">
        <w:rPr>
          <w:rFonts w:ascii="Lato" w:eastAsia="Lato" w:hAnsi="Lato" w:cs="Lato"/>
          <w:b/>
          <w:color w:val="2E5496"/>
          <w:sz w:val="40"/>
        </w:rPr>
        <w:t xml:space="preserve">. </w:t>
      </w:r>
    </w:p>
    <w:p w14:paraId="79A39809" w14:textId="77777777" w:rsidR="000D22CB" w:rsidRDefault="00A64362">
      <w:pPr>
        <w:spacing w:after="0"/>
      </w:pPr>
      <w:r>
        <w:rPr>
          <w:rFonts w:ascii="Times New Roman" w:eastAsia="Times New Roman" w:hAnsi="Times New Roman" w:cs="Times New Roman"/>
          <w:sz w:val="24"/>
        </w:rPr>
        <w:t xml:space="preserve"> </w:t>
      </w:r>
    </w:p>
    <w:p w14:paraId="140C8DA7" w14:textId="77777777" w:rsidR="000D22CB" w:rsidRDefault="00A64362">
      <w:pPr>
        <w:spacing w:after="240" w:line="360" w:lineRule="auto"/>
        <w:ind w:left="-5" w:right="982" w:hanging="10"/>
        <w:jc w:val="both"/>
      </w:pPr>
      <w:r>
        <w:rPr>
          <w:rFonts w:ascii="Lato" w:eastAsia="Lato" w:hAnsi="Lato" w:cs="Lato"/>
          <w:sz w:val="24"/>
        </w:rPr>
        <w:t xml:space="preserve">Akshaya S, B and </w:t>
      </w:r>
      <w:proofErr w:type="spellStart"/>
      <w:r>
        <w:rPr>
          <w:rFonts w:ascii="Lato" w:eastAsia="Lato" w:hAnsi="Lato" w:cs="Lato"/>
          <w:sz w:val="24"/>
        </w:rPr>
        <w:t>Aldhaleei</w:t>
      </w:r>
      <w:proofErr w:type="spellEnd"/>
      <w:r>
        <w:rPr>
          <w:rFonts w:ascii="Lato" w:eastAsia="Lato" w:hAnsi="Lato" w:cs="Lato"/>
          <w:sz w:val="24"/>
        </w:rPr>
        <w:t xml:space="preserve">, W.A. (2024). Alcohol and Substance Use Among the Working Age Population: A Nationwide Study of Fall-Related Emergency Department Visits. </w:t>
      </w:r>
      <w:r>
        <w:rPr>
          <w:rFonts w:ascii="Lato" w:eastAsia="Lato" w:hAnsi="Lato" w:cs="Lato"/>
          <w:i/>
          <w:sz w:val="24"/>
        </w:rPr>
        <w:t>Journal of Studies on Alcohol and Drugs</w:t>
      </w:r>
      <w:r>
        <w:rPr>
          <w:rFonts w:ascii="Lato" w:eastAsia="Lato" w:hAnsi="Lato" w:cs="Lato"/>
          <w:sz w:val="24"/>
        </w:rPr>
        <w:t xml:space="preserve">, 85(3), pp.330–338. Available at: https://doi.org/10.15288/jsad.23-00330. </w:t>
      </w:r>
    </w:p>
    <w:p w14:paraId="40A3073A" w14:textId="77777777" w:rsidR="000D22CB" w:rsidRDefault="00A64362">
      <w:pPr>
        <w:spacing w:after="238" w:line="360" w:lineRule="auto"/>
        <w:ind w:left="-5" w:right="975" w:hanging="10"/>
      </w:pPr>
      <w:r>
        <w:rPr>
          <w:rFonts w:ascii="Lato" w:eastAsia="Lato" w:hAnsi="Lato" w:cs="Lato"/>
          <w:sz w:val="24"/>
        </w:rPr>
        <w:t xml:space="preserve">Ambrose, A.F., Cruz, L. and Paul, G. (2015). Falls and Fractures: A systematic approach to screening and prevention. </w:t>
      </w:r>
      <w:proofErr w:type="spellStart"/>
      <w:r>
        <w:rPr>
          <w:rFonts w:ascii="Lato" w:eastAsia="Lato" w:hAnsi="Lato" w:cs="Lato"/>
          <w:i/>
          <w:sz w:val="24"/>
        </w:rPr>
        <w:t>Maturitas</w:t>
      </w:r>
      <w:proofErr w:type="spellEnd"/>
      <w:r>
        <w:rPr>
          <w:rFonts w:ascii="Lato" w:eastAsia="Lato" w:hAnsi="Lato" w:cs="Lato"/>
          <w:sz w:val="24"/>
        </w:rPr>
        <w:t xml:space="preserve">, 82(1), pp.85–93. Available at: https://doi.org/10.1016/j.maturitas.2015.06.035. </w:t>
      </w:r>
    </w:p>
    <w:p w14:paraId="49590174" w14:textId="1E750ECC" w:rsidR="000D22CB" w:rsidRDefault="00A64362">
      <w:pPr>
        <w:spacing w:after="240" w:line="360" w:lineRule="auto"/>
        <w:ind w:left="-5" w:right="1259" w:hanging="10"/>
        <w:jc w:val="both"/>
      </w:pPr>
      <w:r>
        <w:rPr>
          <w:rFonts w:ascii="Lato" w:eastAsia="Lato" w:hAnsi="Lato" w:cs="Lato"/>
          <w:sz w:val="24"/>
        </w:rPr>
        <w:t xml:space="preserve">Angus, C. (2019). </w:t>
      </w:r>
      <w:r>
        <w:rPr>
          <w:rFonts w:ascii="Lato" w:eastAsia="Lato" w:hAnsi="Lato" w:cs="Lato"/>
          <w:i/>
          <w:sz w:val="24"/>
        </w:rPr>
        <w:t>A generation of hidden drinkers: What’s happening to the drinking of th</w:t>
      </w:r>
      <w:r w:rsidR="008E6234">
        <w:rPr>
          <w:rFonts w:ascii="Lato" w:eastAsia="Lato" w:hAnsi="Lato" w:cs="Lato"/>
          <w:i/>
          <w:sz w:val="24"/>
        </w:rPr>
        <w:t>e</w:t>
      </w:r>
      <w:r>
        <w:rPr>
          <w:rFonts w:ascii="Lato" w:eastAsia="Lato" w:hAnsi="Lato" w:cs="Lato"/>
          <w:i/>
          <w:sz w:val="24"/>
        </w:rPr>
        <w:t>over50</w:t>
      </w:r>
      <w:proofErr w:type="gramStart"/>
      <w:r>
        <w:rPr>
          <w:rFonts w:ascii="Lato" w:eastAsia="Lato" w:hAnsi="Lato" w:cs="Lato"/>
          <w:i/>
          <w:sz w:val="24"/>
        </w:rPr>
        <w:t>s?</w:t>
      </w:r>
      <w:r>
        <w:rPr>
          <w:rFonts w:ascii="Lato" w:eastAsia="Lato" w:hAnsi="Lato" w:cs="Lato"/>
          <w:sz w:val="24"/>
        </w:rPr>
        <w:t>[</w:t>
      </w:r>
      <w:proofErr w:type="gramEnd"/>
      <w:r>
        <w:rPr>
          <w:rFonts w:ascii="Lato" w:eastAsia="Lato" w:hAnsi="Lato" w:cs="Lato"/>
          <w:sz w:val="24"/>
        </w:rPr>
        <w:t>online]</w:t>
      </w:r>
      <w:r w:rsidR="008E6234">
        <w:rPr>
          <w:rFonts w:ascii="Lato" w:eastAsia="Lato" w:hAnsi="Lato" w:cs="Lato"/>
          <w:sz w:val="24"/>
        </w:rPr>
        <w:t xml:space="preserve"> </w:t>
      </w:r>
      <w:r>
        <w:rPr>
          <w:rFonts w:ascii="Lato" w:eastAsia="Lato" w:hAnsi="Lato" w:cs="Lato"/>
          <w:sz w:val="24"/>
        </w:rPr>
        <w:t xml:space="preserve">Available at: https://www.ias.org.uk/2019/01/25/ageneration-of-hidden-drinkers-whats-happening-to-the-drinking-of-the-over-50s/. </w:t>
      </w:r>
    </w:p>
    <w:p w14:paraId="7699A09F" w14:textId="77777777" w:rsidR="000D22CB" w:rsidRDefault="00A64362">
      <w:pPr>
        <w:spacing w:after="0" w:line="360" w:lineRule="auto"/>
        <w:ind w:left="-5" w:right="975" w:hanging="10"/>
      </w:pPr>
      <w:r>
        <w:rPr>
          <w:rFonts w:ascii="Lato" w:eastAsia="Lato" w:hAnsi="Lato" w:cs="Lato"/>
          <w:sz w:val="24"/>
        </w:rPr>
        <w:t xml:space="preserve">Arnett, G. and </w:t>
      </w:r>
      <w:proofErr w:type="spellStart"/>
      <w:r>
        <w:rPr>
          <w:rFonts w:ascii="Lato" w:eastAsia="Lato" w:hAnsi="Lato" w:cs="Lato"/>
          <w:sz w:val="24"/>
        </w:rPr>
        <w:t>Robineau</w:t>
      </w:r>
      <w:proofErr w:type="spellEnd"/>
      <w:r>
        <w:rPr>
          <w:rFonts w:ascii="Lato" w:eastAsia="Lato" w:hAnsi="Lato" w:cs="Lato"/>
          <w:sz w:val="24"/>
        </w:rPr>
        <w:t xml:space="preserve">, D. (2017). </w:t>
      </w:r>
      <w:r>
        <w:rPr>
          <w:rFonts w:ascii="Lato" w:eastAsia="Lato" w:hAnsi="Lato" w:cs="Lato"/>
          <w:i/>
          <w:sz w:val="24"/>
        </w:rPr>
        <w:t>Alcohol and the NHS - five key questions</w:t>
      </w:r>
      <w:r>
        <w:rPr>
          <w:rFonts w:ascii="Lato" w:eastAsia="Lato" w:hAnsi="Lato" w:cs="Lato"/>
          <w:sz w:val="24"/>
        </w:rPr>
        <w:t xml:space="preserve">. [online] The Guardian. Available at: </w:t>
      </w:r>
    </w:p>
    <w:p w14:paraId="7EB3D9A9" w14:textId="77777777" w:rsidR="000D22CB" w:rsidRDefault="00A64362">
      <w:pPr>
        <w:spacing w:after="238" w:line="360" w:lineRule="auto"/>
        <w:ind w:left="-5" w:right="975" w:hanging="10"/>
      </w:pPr>
      <w:r>
        <w:rPr>
          <w:rFonts w:ascii="Lato" w:eastAsia="Lato" w:hAnsi="Lato" w:cs="Lato"/>
          <w:sz w:val="24"/>
        </w:rPr>
        <w:t xml:space="preserve">https://www.theguardian.com/news/datablog/2016/jan/22/alcohol-and-the-nhsfive-key-questions. </w:t>
      </w:r>
    </w:p>
    <w:p w14:paraId="54B229CB" w14:textId="77777777" w:rsidR="000D22CB" w:rsidRDefault="00A64362">
      <w:pPr>
        <w:spacing w:after="238" w:line="360" w:lineRule="auto"/>
        <w:ind w:left="-5" w:right="975" w:hanging="10"/>
      </w:pPr>
      <w:r>
        <w:rPr>
          <w:rFonts w:ascii="Lato" w:eastAsia="Lato" w:hAnsi="Lato" w:cs="Lato"/>
          <w:sz w:val="24"/>
        </w:rPr>
        <w:t xml:space="preserve">Boyd, S. (2023). </w:t>
      </w:r>
      <w:r>
        <w:rPr>
          <w:rFonts w:ascii="Lato" w:eastAsia="Lato" w:hAnsi="Lato" w:cs="Lato"/>
          <w:i/>
          <w:sz w:val="24"/>
        </w:rPr>
        <w:t>No half measures</w:t>
      </w:r>
      <w:r>
        <w:rPr>
          <w:rFonts w:ascii="Lato" w:eastAsia="Lato" w:hAnsi="Lato" w:cs="Lato"/>
          <w:sz w:val="24"/>
        </w:rPr>
        <w:t xml:space="preserve">. [online] The British Medical Association is the trade union and professional body for doctors in the UK. Available at: https://www.bma.org.uk/news-and-opinion/no-half-measures. </w:t>
      </w:r>
    </w:p>
    <w:p w14:paraId="51FA4542" w14:textId="77777777" w:rsidR="000D22CB" w:rsidRDefault="00A64362">
      <w:pPr>
        <w:spacing w:after="238" w:line="360" w:lineRule="auto"/>
        <w:ind w:left="-5" w:right="975" w:hanging="10"/>
      </w:pPr>
      <w:r>
        <w:rPr>
          <w:rFonts w:ascii="Lato" w:eastAsia="Lato" w:hAnsi="Lato" w:cs="Lato"/>
          <w:sz w:val="24"/>
        </w:rPr>
        <w:t xml:space="preserve">Bye, E.K., </w:t>
      </w:r>
      <w:proofErr w:type="spellStart"/>
      <w:r>
        <w:rPr>
          <w:rFonts w:ascii="Lato" w:eastAsia="Lato" w:hAnsi="Lato" w:cs="Lato"/>
          <w:sz w:val="24"/>
        </w:rPr>
        <w:t>Bogstrand</w:t>
      </w:r>
      <w:proofErr w:type="spellEnd"/>
      <w:r>
        <w:rPr>
          <w:rFonts w:ascii="Lato" w:eastAsia="Lato" w:hAnsi="Lato" w:cs="Lato"/>
          <w:sz w:val="24"/>
        </w:rPr>
        <w:t xml:space="preserve">, S.T. and Rossow, I. (2021). The importance of alcohol in elderly’s hospital admissions for fall injuries: a population case-control study. </w:t>
      </w:r>
      <w:r>
        <w:rPr>
          <w:rFonts w:ascii="Lato" w:eastAsia="Lato" w:hAnsi="Lato" w:cs="Lato"/>
          <w:i/>
          <w:sz w:val="24"/>
        </w:rPr>
        <w:t>Nordic Studies on Alcohol and Drugs</w:t>
      </w:r>
      <w:r>
        <w:rPr>
          <w:rFonts w:ascii="Lato" w:eastAsia="Lato" w:hAnsi="Lato" w:cs="Lato"/>
          <w:sz w:val="24"/>
        </w:rPr>
        <w:t xml:space="preserve">, 39(1), pp.38–49. Available at: https://doi.org/10.1177/14550725211015836. </w:t>
      </w:r>
    </w:p>
    <w:p w14:paraId="093FE021" w14:textId="77777777" w:rsidR="000D22CB" w:rsidRDefault="00A64362">
      <w:pPr>
        <w:spacing w:after="238" w:line="360" w:lineRule="auto"/>
        <w:ind w:left="-5" w:right="975" w:hanging="10"/>
      </w:pPr>
      <w:r>
        <w:rPr>
          <w:rFonts w:ascii="Lato" w:eastAsia="Lato" w:hAnsi="Lato" w:cs="Lato"/>
          <w:sz w:val="24"/>
        </w:rPr>
        <w:t xml:space="preserve">Chang, V.C. and Do, M.T. (2015). Risk Factors for Falls Among Seniors: Implications of Gender. </w:t>
      </w:r>
      <w:r>
        <w:rPr>
          <w:rFonts w:ascii="Lato" w:eastAsia="Lato" w:hAnsi="Lato" w:cs="Lato"/>
          <w:i/>
          <w:sz w:val="24"/>
        </w:rPr>
        <w:t>American Journal of Epidemiology</w:t>
      </w:r>
      <w:r>
        <w:rPr>
          <w:rFonts w:ascii="Lato" w:eastAsia="Lato" w:hAnsi="Lato" w:cs="Lato"/>
          <w:sz w:val="24"/>
        </w:rPr>
        <w:t xml:space="preserve">, 181(7), pp.521–531. Available at: https://doi.org/10.1093/aje/kwu268. </w:t>
      </w:r>
    </w:p>
    <w:p w14:paraId="7285FBB8" w14:textId="77777777" w:rsidR="000D22CB" w:rsidRDefault="00A64362">
      <w:pPr>
        <w:spacing w:after="238" w:line="360" w:lineRule="auto"/>
        <w:ind w:left="-5" w:right="975" w:hanging="10"/>
      </w:pPr>
      <w:proofErr w:type="spellStart"/>
      <w:r>
        <w:rPr>
          <w:rFonts w:ascii="Lato" w:eastAsia="Lato" w:hAnsi="Lato" w:cs="Lato"/>
          <w:sz w:val="24"/>
        </w:rPr>
        <w:t>Chatha</w:t>
      </w:r>
      <w:proofErr w:type="spellEnd"/>
      <w:r>
        <w:rPr>
          <w:rFonts w:ascii="Lato" w:eastAsia="Lato" w:hAnsi="Lato" w:cs="Lato"/>
          <w:sz w:val="24"/>
        </w:rPr>
        <w:t xml:space="preserve">, H., Sammy, I., Hickey, M., </w:t>
      </w:r>
      <w:proofErr w:type="spellStart"/>
      <w:r>
        <w:rPr>
          <w:rFonts w:ascii="Lato" w:eastAsia="Lato" w:hAnsi="Lato" w:cs="Lato"/>
          <w:sz w:val="24"/>
        </w:rPr>
        <w:t>Sattout</w:t>
      </w:r>
      <w:proofErr w:type="spellEnd"/>
      <w:r>
        <w:rPr>
          <w:rFonts w:ascii="Lato" w:eastAsia="Lato" w:hAnsi="Lato" w:cs="Lato"/>
          <w:sz w:val="24"/>
        </w:rPr>
        <w:t xml:space="preserve">, A. and Hollingsworth, J. (2017). Falling down a flight of stairs: The impact of age and intoxication on injury pattern and </w:t>
      </w:r>
      <w:r>
        <w:rPr>
          <w:rFonts w:ascii="Lato" w:eastAsia="Lato" w:hAnsi="Lato" w:cs="Lato"/>
          <w:sz w:val="24"/>
        </w:rPr>
        <w:lastRenderedPageBreak/>
        <w:t xml:space="preserve">severity. </w:t>
      </w:r>
      <w:r>
        <w:rPr>
          <w:rFonts w:ascii="Lato" w:eastAsia="Lato" w:hAnsi="Lato" w:cs="Lato"/>
          <w:i/>
          <w:sz w:val="24"/>
        </w:rPr>
        <w:t>Trauma</w:t>
      </w:r>
      <w:r>
        <w:rPr>
          <w:rFonts w:ascii="Lato" w:eastAsia="Lato" w:hAnsi="Lato" w:cs="Lato"/>
          <w:sz w:val="24"/>
        </w:rPr>
        <w:t xml:space="preserve">, 20(3), pp.169–174. Available at: https://doi.org/10.1177/1460408617720948. </w:t>
      </w:r>
    </w:p>
    <w:p w14:paraId="1916C8B8" w14:textId="77777777" w:rsidR="000D22CB" w:rsidRDefault="00A64362">
      <w:pPr>
        <w:spacing w:after="0" w:line="360" w:lineRule="auto"/>
        <w:ind w:left="-5" w:right="975" w:hanging="10"/>
      </w:pPr>
      <w:proofErr w:type="spellStart"/>
      <w:r>
        <w:rPr>
          <w:rFonts w:ascii="Lato" w:eastAsia="Lato" w:hAnsi="Lato" w:cs="Lato"/>
          <w:sz w:val="24"/>
        </w:rPr>
        <w:t>Cherpitel</w:t>
      </w:r>
      <w:proofErr w:type="spellEnd"/>
      <w:r>
        <w:rPr>
          <w:rFonts w:ascii="Lato" w:eastAsia="Lato" w:hAnsi="Lato" w:cs="Lato"/>
          <w:sz w:val="24"/>
        </w:rPr>
        <w:t xml:space="preserve">, C.J., Ye, Y., Bond, J., Borges, G. and Monteiro, M. (2014). Relative risk of injury from acute alcohol consumption: </w:t>
      </w:r>
      <w:proofErr w:type="spellStart"/>
      <w:r>
        <w:rPr>
          <w:rFonts w:ascii="Lato" w:eastAsia="Lato" w:hAnsi="Lato" w:cs="Lato"/>
          <w:sz w:val="24"/>
        </w:rPr>
        <w:t>modeling</w:t>
      </w:r>
      <w:proofErr w:type="spellEnd"/>
      <w:r>
        <w:rPr>
          <w:rFonts w:ascii="Lato" w:eastAsia="Lato" w:hAnsi="Lato" w:cs="Lato"/>
          <w:sz w:val="24"/>
        </w:rPr>
        <w:t xml:space="preserve"> the dose-response relationship in emergency department data from 18 countries. </w:t>
      </w:r>
      <w:r>
        <w:rPr>
          <w:rFonts w:ascii="Lato" w:eastAsia="Lato" w:hAnsi="Lato" w:cs="Lato"/>
          <w:i/>
          <w:sz w:val="24"/>
        </w:rPr>
        <w:t>Addiction</w:t>
      </w:r>
      <w:r>
        <w:rPr>
          <w:rFonts w:ascii="Lato" w:eastAsia="Lato" w:hAnsi="Lato" w:cs="Lato"/>
          <w:sz w:val="24"/>
        </w:rPr>
        <w:t xml:space="preserve">, 110(2), pp.279–288. </w:t>
      </w:r>
    </w:p>
    <w:p w14:paraId="1A1EEC86" w14:textId="77777777" w:rsidR="000D22CB" w:rsidRDefault="00A64362">
      <w:pPr>
        <w:spacing w:after="361"/>
        <w:ind w:left="-5" w:right="975" w:hanging="10"/>
      </w:pPr>
      <w:r>
        <w:rPr>
          <w:rFonts w:ascii="Lato" w:eastAsia="Lato" w:hAnsi="Lato" w:cs="Lato"/>
          <w:sz w:val="24"/>
        </w:rPr>
        <w:t xml:space="preserve">Available at: https://doi.org/10.1111/add.12755. </w:t>
      </w:r>
    </w:p>
    <w:p w14:paraId="2F649491" w14:textId="77777777" w:rsidR="000D22CB" w:rsidRDefault="00A64362">
      <w:pPr>
        <w:spacing w:after="238" w:line="360" w:lineRule="auto"/>
        <w:ind w:left="-5" w:right="975" w:hanging="10"/>
      </w:pPr>
      <w:r>
        <w:rPr>
          <w:rFonts w:ascii="Lato" w:eastAsia="Lato" w:hAnsi="Lato" w:cs="Lato"/>
          <w:sz w:val="24"/>
        </w:rPr>
        <w:t xml:space="preserve">Close, J.C.T. (2003). Predictors of falls in a high-risk population: results from the prevention of falls in the elderly trial (PROFET). </w:t>
      </w:r>
      <w:r>
        <w:rPr>
          <w:rFonts w:ascii="Lato" w:eastAsia="Lato" w:hAnsi="Lato" w:cs="Lato"/>
          <w:i/>
          <w:sz w:val="24"/>
        </w:rPr>
        <w:t>Emergency Medicine Journal</w:t>
      </w:r>
      <w:r>
        <w:rPr>
          <w:rFonts w:ascii="Lato" w:eastAsia="Lato" w:hAnsi="Lato" w:cs="Lato"/>
          <w:sz w:val="24"/>
        </w:rPr>
        <w:t xml:space="preserve">, 20(5), pp.421–425. Available at: https://doi.org/10.1136/emj.20.5.421. </w:t>
      </w:r>
    </w:p>
    <w:p w14:paraId="40A447E2" w14:textId="77777777" w:rsidR="000D22CB" w:rsidRDefault="00A64362">
      <w:pPr>
        <w:spacing w:after="238" w:line="360" w:lineRule="auto"/>
        <w:ind w:left="-5" w:right="975" w:hanging="10"/>
      </w:pPr>
      <w:r>
        <w:rPr>
          <w:rFonts w:ascii="Lato" w:eastAsia="Lato" w:hAnsi="Lato" w:cs="Lato"/>
          <w:sz w:val="24"/>
        </w:rPr>
        <w:t xml:space="preserve">Collins, S. (2016). Associations Between Socioeconomic Factors and Alcohol Outcomes. </w:t>
      </w:r>
      <w:r>
        <w:rPr>
          <w:rFonts w:ascii="Lato" w:eastAsia="Lato" w:hAnsi="Lato" w:cs="Lato"/>
          <w:i/>
          <w:sz w:val="24"/>
        </w:rPr>
        <w:t xml:space="preserve">Alcohol </w:t>
      </w:r>
      <w:proofErr w:type="gramStart"/>
      <w:r>
        <w:rPr>
          <w:rFonts w:ascii="Lato" w:eastAsia="Lato" w:hAnsi="Lato" w:cs="Lato"/>
          <w:i/>
          <w:sz w:val="24"/>
        </w:rPr>
        <w:t>research :</w:t>
      </w:r>
      <w:proofErr w:type="gramEnd"/>
      <w:r>
        <w:rPr>
          <w:rFonts w:ascii="Lato" w:eastAsia="Lato" w:hAnsi="Lato" w:cs="Lato"/>
          <w:i/>
          <w:sz w:val="24"/>
        </w:rPr>
        <w:t xml:space="preserve"> current reviews</w:t>
      </w:r>
      <w:r>
        <w:rPr>
          <w:rFonts w:ascii="Lato" w:eastAsia="Lato" w:hAnsi="Lato" w:cs="Lato"/>
          <w:sz w:val="24"/>
        </w:rPr>
        <w:t xml:space="preserve">, [online] 38(1), pp.83–94. Available at: https://www.ncbi.nlm.nih.gov/pmc/articles/PMC4872618/. </w:t>
      </w:r>
    </w:p>
    <w:p w14:paraId="79666E55" w14:textId="77777777" w:rsidR="000D22CB" w:rsidRDefault="00A64362">
      <w:pPr>
        <w:spacing w:after="0" w:line="360" w:lineRule="auto"/>
        <w:ind w:left="-5" w:right="975" w:hanging="10"/>
      </w:pPr>
      <w:r>
        <w:rPr>
          <w:rFonts w:ascii="Lato" w:eastAsia="Lato" w:hAnsi="Lato" w:cs="Lato"/>
          <w:sz w:val="24"/>
        </w:rPr>
        <w:t xml:space="preserve">Friedland, D., Brunton, I. and Potts, J. (2013). Falls and Traumatic Brain Injury in Adults Under the Age of Sixty. </w:t>
      </w:r>
      <w:r>
        <w:rPr>
          <w:rFonts w:ascii="Lato" w:eastAsia="Lato" w:hAnsi="Lato" w:cs="Lato"/>
          <w:i/>
          <w:sz w:val="24"/>
        </w:rPr>
        <w:t>Journal of Community Health</w:t>
      </w:r>
      <w:r>
        <w:rPr>
          <w:rFonts w:ascii="Lato" w:eastAsia="Lato" w:hAnsi="Lato" w:cs="Lato"/>
          <w:sz w:val="24"/>
        </w:rPr>
        <w:t xml:space="preserve">, 39(1), pp.148–150. </w:t>
      </w:r>
    </w:p>
    <w:p w14:paraId="69A3ACC9" w14:textId="77777777" w:rsidR="000D22CB" w:rsidRDefault="00A64362">
      <w:pPr>
        <w:spacing w:after="361"/>
        <w:ind w:left="-5" w:right="975" w:hanging="10"/>
      </w:pPr>
      <w:r>
        <w:rPr>
          <w:rFonts w:ascii="Lato" w:eastAsia="Lato" w:hAnsi="Lato" w:cs="Lato"/>
          <w:sz w:val="24"/>
        </w:rPr>
        <w:t xml:space="preserve">Available at: https://doi.org/10.1007/s10900-013-9752-3. </w:t>
      </w:r>
    </w:p>
    <w:p w14:paraId="4728893D" w14:textId="77777777" w:rsidR="000D22CB" w:rsidRDefault="00A64362">
      <w:pPr>
        <w:spacing w:after="238" w:line="360" w:lineRule="auto"/>
        <w:ind w:left="-5" w:right="975" w:hanging="10"/>
      </w:pPr>
      <w:r>
        <w:rPr>
          <w:rFonts w:ascii="Lato" w:eastAsia="Lato" w:hAnsi="Lato" w:cs="Lato"/>
          <w:sz w:val="24"/>
        </w:rPr>
        <w:t xml:space="preserve">Gale, C.R., Cooper, C. and </w:t>
      </w:r>
      <w:proofErr w:type="spellStart"/>
      <w:r>
        <w:rPr>
          <w:rFonts w:ascii="Lato" w:eastAsia="Lato" w:hAnsi="Lato" w:cs="Lato"/>
          <w:sz w:val="24"/>
        </w:rPr>
        <w:t>Aihie</w:t>
      </w:r>
      <w:proofErr w:type="spellEnd"/>
      <w:r>
        <w:rPr>
          <w:rFonts w:ascii="Lato" w:eastAsia="Lato" w:hAnsi="Lato" w:cs="Lato"/>
          <w:sz w:val="24"/>
        </w:rPr>
        <w:t xml:space="preserve"> Sayer, A. (2016). Prevalence and risk factors for falls in older men and women: The English Longitudinal Study of Ageing. </w:t>
      </w:r>
      <w:r>
        <w:rPr>
          <w:rFonts w:ascii="Lato" w:eastAsia="Lato" w:hAnsi="Lato" w:cs="Lato"/>
          <w:i/>
          <w:sz w:val="24"/>
        </w:rPr>
        <w:t>Age and Ageing</w:t>
      </w:r>
      <w:r>
        <w:rPr>
          <w:rFonts w:ascii="Lato" w:eastAsia="Lato" w:hAnsi="Lato" w:cs="Lato"/>
          <w:sz w:val="24"/>
        </w:rPr>
        <w:t xml:space="preserve">, [online] 45(6), pp.789–794. Available at: https://doi.org/10.1093/ageing/afw129. </w:t>
      </w:r>
    </w:p>
    <w:p w14:paraId="7925CA6A" w14:textId="77777777" w:rsidR="000D22CB" w:rsidRDefault="00A64362">
      <w:pPr>
        <w:spacing w:after="121"/>
        <w:ind w:left="-5" w:right="975" w:hanging="10"/>
      </w:pPr>
      <w:r>
        <w:rPr>
          <w:rFonts w:ascii="Lato" w:eastAsia="Lato" w:hAnsi="Lato" w:cs="Lato"/>
          <w:sz w:val="24"/>
        </w:rPr>
        <w:t xml:space="preserve">Gleeson, H., Thom, B., Bayley, M. and McQuarrie, T. (2019). </w:t>
      </w:r>
      <w:r>
        <w:rPr>
          <w:rFonts w:ascii="Lato" w:eastAsia="Lato" w:hAnsi="Lato" w:cs="Lato"/>
          <w:i/>
          <w:sz w:val="24"/>
        </w:rPr>
        <w:t xml:space="preserve">Rapid evidence reviews: </w:t>
      </w:r>
    </w:p>
    <w:p w14:paraId="39D33BDF" w14:textId="2AE74F5F" w:rsidR="000D22CB" w:rsidRDefault="00A64362">
      <w:pPr>
        <w:spacing w:after="240" w:line="360" w:lineRule="auto"/>
        <w:ind w:left="-5" w:right="1091" w:hanging="10"/>
        <w:jc w:val="both"/>
      </w:pPr>
      <w:r>
        <w:rPr>
          <w:rFonts w:ascii="Lato" w:eastAsia="Lato" w:hAnsi="Lato" w:cs="Lato"/>
          <w:i/>
          <w:sz w:val="24"/>
        </w:rPr>
        <w:t>Drinking problems and interventions in black and minority ethnic communities</w:t>
      </w:r>
      <w:r>
        <w:rPr>
          <w:rFonts w:ascii="Lato" w:eastAsia="Lato" w:hAnsi="Lato" w:cs="Lato"/>
          <w:sz w:val="24"/>
        </w:rPr>
        <w:t xml:space="preserve">. [online] </w:t>
      </w:r>
      <w:proofErr w:type="spellStart"/>
      <w:r>
        <w:rPr>
          <w:rFonts w:ascii="Lato" w:eastAsia="Lato" w:hAnsi="Lato" w:cs="Lato"/>
          <w:sz w:val="24"/>
        </w:rPr>
        <w:t>AlcoholChangeUK</w:t>
      </w:r>
      <w:proofErr w:type="spellEnd"/>
      <w:r>
        <w:rPr>
          <w:rFonts w:ascii="Lato" w:eastAsia="Lato" w:hAnsi="Lato" w:cs="Lato"/>
          <w:sz w:val="24"/>
        </w:rPr>
        <w:t>.</w:t>
      </w:r>
      <w:r w:rsidR="008E6234">
        <w:rPr>
          <w:rFonts w:ascii="Lato" w:eastAsia="Lato" w:hAnsi="Lato" w:cs="Lato"/>
          <w:sz w:val="24"/>
        </w:rPr>
        <w:t xml:space="preserve"> </w:t>
      </w:r>
      <w:r w:rsidR="00D30E17">
        <w:rPr>
          <w:rFonts w:ascii="Lato" w:eastAsia="Lato" w:hAnsi="Lato" w:cs="Lato"/>
          <w:sz w:val="24"/>
        </w:rPr>
        <w:t>Available at</w:t>
      </w:r>
      <w:r>
        <w:rPr>
          <w:rFonts w:ascii="Lato" w:eastAsia="Lato" w:hAnsi="Lato" w:cs="Lato"/>
          <w:sz w:val="24"/>
        </w:rPr>
        <w:t>:</w:t>
      </w:r>
      <w:r w:rsidR="008E6234">
        <w:rPr>
          <w:rFonts w:ascii="Lato" w:eastAsia="Lato" w:hAnsi="Lato" w:cs="Lato"/>
          <w:sz w:val="24"/>
        </w:rPr>
        <w:t xml:space="preserve"> </w:t>
      </w:r>
      <w:r>
        <w:rPr>
          <w:rFonts w:ascii="Lato" w:eastAsia="Lato" w:hAnsi="Lato" w:cs="Lato"/>
          <w:sz w:val="24"/>
        </w:rPr>
        <w:t xml:space="preserve">https://alcoholchange.org.uk/publication/rapidevidence-review-drinking-problems-and-interventions-in-black-and-minority-ethniccommunities. </w:t>
      </w:r>
    </w:p>
    <w:p w14:paraId="77AC9B1F" w14:textId="77777777" w:rsidR="000D22CB" w:rsidRDefault="00A64362">
      <w:pPr>
        <w:spacing w:after="121"/>
        <w:ind w:left="-5" w:right="975" w:hanging="10"/>
      </w:pPr>
      <w:r>
        <w:rPr>
          <w:rFonts w:ascii="Lato" w:eastAsia="Lato" w:hAnsi="Lato" w:cs="Lato"/>
          <w:sz w:val="24"/>
        </w:rPr>
        <w:t xml:space="preserve">Goldberg, E.M., Babu, K.M. and Merchant, R.C. (2023). Alcohol-Related Falls Are </w:t>
      </w:r>
    </w:p>
    <w:p w14:paraId="33C7EE8C" w14:textId="77777777" w:rsidR="000D22CB" w:rsidRDefault="00A64362">
      <w:pPr>
        <w:spacing w:after="0" w:line="360" w:lineRule="auto"/>
        <w:ind w:left="-5" w:right="975" w:hanging="10"/>
      </w:pPr>
      <w:r>
        <w:rPr>
          <w:rFonts w:ascii="Lato" w:eastAsia="Lato" w:hAnsi="Lato" w:cs="Lato"/>
          <w:sz w:val="24"/>
        </w:rPr>
        <w:t xml:space="preserve">Increasing in Older Emergency Department Patients: A Call to Action. </w:t>
      </w:r>
      <w:r>
        <w:rPr>
          <w:rFonts w:ascii="Lato" w:eastAsia="Lato" w:hAnsi="Lato" w:cs="Lato"/>
          <w:i/>
          <w:sz w:val="24"/>
        </w:rPr>
        <w:t>Annals of Emergency Medicine</w:t>
      </w:r>
      <w:r>
        <w:rPr>
          <w:rFonts w:ascii="Lato" w:eastAsia="Lato" w:hAnsi="Lato" w:cs="Lato"/>
          <w:sz w:val="24"/>
        </w:rPr>
        <w:t xml:space="preserve">, 82(6). Available at: </w:t>
      </w:r>
    </w:p>
    <w:p w14:paraId="1817351F" w14:textId="77777777" w:rsidR="000D22CB" w:rsidRDefault="00A64362">
      <w:pPr>
        <w:spacing w:after="238"/>
        <w:ind w:left="-5" w:right="975" w:hanging="10"/>
      </w:pPr>
      <w:r>
        <w:rPr>
          <w:rFonts w:ascii="Lato" w:eastAsia="Lato" w:hAnsi="Lato" w:cs="Lato"/>
          <w:sz w:val="24"/>
        </w:rPr>
        <w:t xml:space="preserve">https://doi.org/10.1016/j.annemergmed.2023.07.011. </w:t>
      </w:r>
    </w:p>
    <w:p w14:paraId="4D5DABF2" w14:textId="77777777" w:rsidR="000D22CB" w:rsidRDefault="00A64362">
      <w:pPr>
        <w:spacing w:after="121"/>
        <w:ind w:left="-5" w:right="975" w:hanging="10"/>
      </w:pPr>
      <w:r>
        <w:rPr>
          <w:rFonts w:ascii="Lato" w:eastAsia="Lato" w:hAnsi="Lato" w:cs="Lato"/>
          <w:sz w:val="24"/>
        </w:rPr>
        <w:lastRenderedPageBreak/>
        <w:t xml:space="preserve">GOV.UK (2021). </w:t>
      </w:r>
      <w:r>
        <w:rPr>
          <w:rFonts w:ascii="Lato" w:eastAsia="Lato" w:hAnsi="Lato" w:cs="Lato"/>
          <w:i/>
          <w:sz w:val="24"/>
        </w:rPr>
        <w:t>Chapter 12: Alcohol</w:t>
      </w:r>
      <w:r>
        <w:rPr>
          <w:rFonts w:ascii="Lato" w:eastAsia="Lato" w:hAnsi="Lato" w:cs="Lato"/>
          <w:sz w:val="24"/>
        </w:rPr>
        <w:t xml:space="preserve">. [online] GOV.UK. Available at: </w:t>
      </w:r>
    </w:p>
    <w:p w14:paraId="1D9A39E9" w14:textId="77777777" w:rsidR="000D22CB" w:rsidRDefault="00A64362">
      <w:pPr>
        <w:spacing w:after="238" w:line="360" w:lineRule="auto"/>
        <w:ind w:left="-5" w:right="975" w:hanging="10"/>
      </w:pPr>
      <w:r>
        <w:rPr>
          <w:rFonts w:ascii="Lato" w:eastAsia="Lato" w:hAnsi="Lato" w:cs="Lato"/>
          <w:sz w:val="24"/>
        </w:rPr>
        <w:t xml:space="preserve">https://www.gov.uk/government/publications/delivering-better-oral-health-anevidence-based-toolkit-for-prevention/chapter-12-alcohol. </w:t>
      </w:r>
    </w:p>
    <w:p w14:paraId="40AC4EB3" w14:textId="40209EA8" w:rsidR="000D22CB" w:rsidRDefault="00A64362">
      <w:pPr>
        <w:spacing w:after="238" w:line="360" w:lineRule="auto"/>
        <w:ind w:left="-5" w:right="975" w:hanging="10"/>
      </w:pPr>
      <w:proofErr w:type="spellStart"/>
      <w:r>
        <w:rPr>
          <w:rFonts w:ascii="Lato" w:eastAsia="Lato" w:hAnsi="Lato" w:cs="Lato"/>
          <w:sz w:val="24"/>
        </w:rPr>
        <w:t>Grundstrom</w:t>
      </w:r>
      <w:proofErr w:type="spellEnd"/>
      <w:r>
        <w:rPr>
          <w:rFonts w:ascii="Lato" w:eastAsia="Lato" w:hAnsi="Lato" w:cs="Lato"/>
          <w:sz w:val="24"/>
        </w:rPr>
        <w:t xml:space="preserve">, A.C., Guse, C.E. and </w:t>
      </w:r>
      <w:proofErr w:type="spellStart"/>
      <w:r>
        <w:rPr>
          <w:rFonts w:ascii="Lato" w:eastAsia="Lato" w:hAnsi="Lato" w:cs="Lato"/>
          <w:sz w:val="24"/>
        </w:rPr>
        <w:t>Layde</w:t>
      </w:r>
      <w:proofErr w:type="spellEnd"/>
      <w:r>
        <w:rPr>
          <w:rFonts w:ascii="Lato" w:eastAsia="Lato" w:hAnsi="Lato" w:cs="Lato"/>
          <w:sz w:val="24"/>
        </w:rPr>
        <w:t xml:space="preserve">, P.M. (2012). Risk factors for falls and </w:t>
      </w:r>
      <w:r w:rsidR="008E6234">
        <w:rPr>
          <w:rFonts w:ascii="Lato" w:eastAsia="Lato" w:hAnsi="Lato" w:cs="Lato"/>
          <w:sz w:val="24"/>
        </w:rPr>
        <w:t>fall related</w:t>
      </w:r>
      <w:r>
        <w:rPr>
          <w:rFonts w:ascii="Lato" w:eastAsia="Lato" w:hAnsi="Lato" w:cs="Lato"/>
          <w:sz w:val="24"/>
        </w:rPr>
        <w:t xml:space="preserve"> injuries in adults 85 years of age and older. </w:t>
      </w:r>
      <w:r>
        <w:rPr>
          <w:rFonts w:ascii="Lato" w:eastAsia="Lato" w:hAnsi="Lato" w:cs="Lato"/>
          <w:i/>
          <w:sz w:val="24"/>
        </w:rPr>
        <w:t>Archives of Gerontology and Geriatrics</w:t>
      </w:r>
      <w:r>
        <w:rPr>
          <w:rFonts w:ascii="Lato" w:eastAsia="Lato" w:hAnsi="Lato" w:cs="Lato"/>
          <w:sz w:val="24"/>
        </w:rPr>
        <w:t xml:space="preserve">, 54(3), pp.421–428. Available at: https://doi.org/10.1016/j.archger.2011.06.008. </w:t>
      </w:r>
    </w:p>
    <w:p w14:paraId="2D540591" w14:textId="77777777" w:rsidR="000D22CB" w:rsidRDefault="00A64362">
      <w:pPr>
        <w:spacing w:after="238" w:line="360" w:lineRule="auto"/>
        <w:ind w:left="-5" w:right="975" w:hanging="10"/>
      </w:pPr>
      <w:r>
        <w:rPr>
          <w:rFonts w:ascii="Lato" w:eastAsia="Lato" w:hAnsi="Lato" w:cs="Lato"/>
          <w:sz w:val="24"/>
        </w:rPr>
        <w:t xml:space="preserve">Hides, L., </w:t>
      </w:r>
      <w:proofErr w:type="spellStart"/>
      <w:r>
        <w:rPr>
          <w:rFonts w:ascii="Lato" w:eastAsia="Lato" w:hAnsi="Lato" w:cs="Lato"/>
          <w:sz w:val="24"/>
        </w:rPr>
        <w:t>Limbong</w:t>
      </w:r>
      <w:proofErr w:type="spellEnd"/>
      <w:r>
        <w:rPr>
          <w:rFonts w:ascii="Lato" w:eastAsia="Lato" w:hAnsi="Lato" w:cs="Lato"/>
          <w:sz w:val="24"/>
        </w:rPr>
        <w:t xml:space="preserve">, J., </w:t>
      </w:r>
      <w:proofErr w:type="spellStart"/>
      <w:r>
        <w:rPr>
          <w:rFonts w:ascii="Lato" w:eastAsia="Lato" w:hAnsi="Lato" w:cs="Lato"/>
          <w:sz w:val="24"/>
        </w:rPr>
        <w:t>Vallmuur</w:t>
      </w:r>
      <w:proofErr w:type="spellEnd"/>
      <w:r>
        <w:rPr>
          <w:rFonts w:ascii="Lato" w:eastAsia="Lato" w:hAnsi="Lato" w:cs="Lato"/>
          <w:sz w:val="24"/>
        </w:rPr>
        <w:t xml:space="preserve">, K., Barker, R., Daglish, M. and Young, R.M. (2014). Alcohol-related emergency department injury presentations in Queensland adolescents and young adults over a 13-year period. </w:t>
      </w:r>
      <w:r>
        <w:rPr>
          <w:rFonts w:ascii="Lato" w:eastAsia="Lato" w:hAnsi="Lato" w:cs="Lato"/>
          <w:i/>
          <w:sz w:val="24"/>
        </w:rPr>
        <w:t>Drug and Alcohol Review</w:t>
      </w:r>
      <w:r>
        <w:rPr>
          <w:rFonts w:ascii="Lato" w:eastAsia="Lato" w:hAnsi="Lato" w:cs="Lato"/>
          <w:sz w:val="24"/>
        </w:rPr>
        <w:t xml:space="preserve">, 34(2), pp.177–184. Available at: https://doi.org/10.1111/dar.12218. </w:t>
      </w:r>
    </w:p>
    <w:p w14:paraId="0B664BAB" w14:textId="77777777" w:rsidR="000D22CB" w:rsidRDefault="00A64362">
      <w:pPr>
        <w:spacing w:after="0" w:line="360" w:lineRule="auto"/>
        <w:ind w:left="-5" w:right="975" w:hanging="10"/>
      </w:pPr>
      <w:proofErr w:type="spellStart"/>
      <w:r>
        <w:rPr>
          <w:rFonts w:ascii="Lato" w:eastAsia="Lato" w:hAnsi="Lato" w:cs="Lato"/>
          <w:sz w:val="24"/>
        </w:rPr>
        <w:t>Hurcombe</w:t>
      </w:r>
      <w:proofErr w:type="spellEnd"/>
      <w:r>
        <w:rPr>
          <w:rFonts w:ascii="Lato" w:eastAsia="Lato" w:hAnsi="Lato" w:cs="Lato"/>
          <w:sz w:val="24"/>
        </w:rPr>
        <w:t xml:space="preserve">, R., Bayley, M. and Goodman, A. (2010). </w:t>
      </w:r>
      <w:r>
        <w:rPr>
          <w:rFonts w:ascii="Lato" w:eastAsia="Lato" w:hAnsi="Lato" w:cs="Lato"/>
          <w:i/>
          <w:sz w:val="24"/>
        </w:rPr>
        <w:t>Ethnicity and alcohol: a review of the UK literature</w:t>
      </w:r>
      <w:r>
        <w:rPr>
          <w:rFonts w:ascii="Lato" w:eastAsia="Lato" w:hAnsi="Lato" w:cs="Lato"/>
          <w:sz w:val="24"/>
        </w:rPr>
        <w:t xml:space="preserve">. [online] ResearchGate. Available at: </w:t>
      </w:r>
    </w:p>
    <w:p w14:paraId="6E71973D" w14:textId="77777777" w:rsidR="000D22CB" w:rsidRDefault="00A64362">
      <w:pPr>
        <w:spacing w:after="238" w:line="360" w:lineRule="auto"/>
        <w:ind w:left="-5" w:right="975" w:hanging="10"/>
      </w:pPr>
      <w:r>
        <w:rPr>
          <w:rFonts w:ascii="Lato" w:eastAsia="Lato" w:hAnsi="Lato" w:cs="Lato"/>
          <w:sz w:val="24"/>
        </w:rPr>
        <w:t xml:space="preserve">https://www.researchgate.net/publication/277771934_Ethnicity_and_alcohol_a_revi </w:t>
      </w:r>
      <w:proofErr w:type="spellStart"/>
      <w:r>
        <w:rPr>
          <w:rFonts w:ascii="Lato" w:eastAsia="Lato" w:hAnsi="Lato" w:cs="Lato"/>
          <w:sz w:val="24"/>
        </w:rPr>
        <w:t>ew_of_the_UK_literature</w:t>
      </w:r>
      <w:proofErr w:type="spellEnd"/>
      <w:r>
        <w:rPr>
          <w:rFonts w:ascii="Lato" w:eastAsia="Lato" w:hAnsi="Lato" w:cs="Lato"/>
          <w:sz w:val="24"/>
        </w:rPr>
        <w:t xml:space="preserve"> [Accessed 5 Oct. 2024]. </w:t>
      </w:r>
    </w:p>
    <w:p w14:paraId="16C4013D" w14:textId="77777777" w:rsidR="000D22CB" w:rsidRDefault="00A64362">
      <w:pPr>
        <w:spacing w:after="238" w:line="360" w:lineRule="auto"/>
        <w:ind w:left="-5" w:right="975" w:hanging="10"/>
      </w:pPr>
      <w:r>
        <w:rPr>
          <w:rFonts w:ascii="Lato" w:eastAsia="Lato" w:hAnsi="Lato" w:cs="Lato"/>
          <w:sz w:val="24"/>
        </w:rPr>
        <w:t xml:space="preserve">Institute of Alcohol Studies (2020). </w:t>
      </w:r>
      <w:r>
        <w:rPr>
          <w:rFonts w:ascii="Lato" w:eastAsia="Lato" w:hAnsi="Lato" w:cs="Lato"/>
          <w:i/>
          <w:sz w:val="24"/>
        </w:rPr>
        <w:t>Ethnic minorities and alcohol</w:t>
      </w:r>
      <w:r>
        <w:rPr>
          <w:rFonts w:ascii="Lato" w:eastAsia="Lato" w:hAnsi="Lato" w:cs="Lato"/>
          <w:sz w:val="24"/>
        </w:rPr>
        <w:t xml:space="preserve">. [online] Institute of Alcohol Studies. Available at: https://www.ias.org.uk/report/ethnic-minorities-andalcohol/. </w:t>
      </w:r>
    </w:p>
    <w:p w14:paraId="78704139" w14:textId="54FA14E8" w:rsidR="000D22CB" w:rsidRDefault="00A64362">
      <w:pPr>
        <w:spacing w:after="238" w:line="360" w:lineRule="auto"/>
        <w:ind w:left="-5" w:right="975" w:hanging="10"/>
      </w:pPr>
      <w:r>
        <w:rPr>
          <w:rFonts w:ascii="Lato" w:eastAsia="Lato" w:hAnsi="Lato" w:cs="Lato"/>
          <w:sz w:val="24"/>
        </w:rPr>
        <w:t xml:space="preserve">Irving, A., Goodacre, S., Blake, J., Allen, D. and Moore, S.C. (2017). Managing </w:t>
      </w:r>
      <w:r w:rsidR="008E6234">
        <w:rPr>
          <w:rFonts w:ascii="Lato" w:eastAsia="Lato" w:hAnsi="Lato" w:cs="Lato"/>
          <w:sz w:val="24"/>
        </w:rPr>
        <w:t>alcohol related</w:t>
      </w:r>
      <w:r>
        <w:rPr>
          <w:rFonts w:ascii="Lato" w:eastAsia="Lato" w:hAnsi="Lato" w:cs="Lato"/>
          <w:sz w:val="24"/>
        </w:rPr>
        <w:t xml:space="preserve"> attendances in emergency care: can diversion to bespoke services lessen the burden? </w:t>
      </w:r>
      <w:r>
        <w:rPr>
          <w:rFonts w:ascii="Lato" w:eastAsia="Lato" w:hAnsi="Lato" w:cs="Lato"/>
          <w:i/>
          <w:sz w:val="24"/>
        </w:rPr>
        <w:t>Emergency Medicine Journal</w:t>
      </w:r>
      <w:r>
        <w:rPr>
          <w:rFonts w:ascii="Lato" w:eastAsia="Lato" w:hAnsi="Lato" w:cs="Lato"/>
          <w:sz w:val="24"/>
        </w:rPr>
        <w:t xml:space="preserve">, [online] 35(2), pp.79–82. Available at: https://doi.org/10.1136/emermed-2016-206451. </w:t>
      </w:r>
    </w:p>
    <w:p w14:paraId="05830D2A" w14:textId="214246F2" w:rsidR="000D22CB" w:rsidRDefault="00A64362">
      <w:pPr>
        <w:spacing w:after="238" w:line="360" w:lineRule="auto"/>
        <w:ind w:left="-5" w:right="975" w:hanging="10"/>
      </w:pPr>
      <w:r>
        <w:rPr>
          <w:rFonts w:ascii="Lato" w:eastAsia="Lato" w:hAnsi="Lato" w:cs="Lato"/>
          <w:sz w:val="24"/>
        </w:rPr>
        <w:t xml:space="preserve">Jones, L., Bates, G., McCoy, E. and Bellis, M.A. (2015). Relationship between </w:t>
      </w:r>
      <w:r w:rsidR="008E6234">
        <w:rPr>
          <w:rFonts w:ascii="Lato" w:eastAsia="Lato" w:hAnsi="Lato" w:cs="Lato"/>
          <w:sz w:val="24"/>
        </w:rPr>
        <w:t>alcohol attributable</w:t>
      </w:r>
      <w:r>
        <w:rPr>
          <w:rFonts w:ascii="Lato" w:eastAsia="Lato" w:hAnsi="Lato" w:cs="Lato"/>
          <w:sz w:val="24"/>
        </w:rPr>
        <w:t xml:space="preserve"> disease and socioeconomic status, and the role of alcohol consumption in this relationship: a systematic review and meta-analysis. </w:t>
      </w:r>
      <w:r>
        <w:rPr>
          <w:rFonts w:ascii="Lato" w:eastAsia="Lato" w:hAnsi="Lato" w:cs="Lato"/>
          <w:i/>
          <w:sz w:val="24"/>
        </w:rPr>
        <w:t>BMC Public Health</w:t>
      </w:r>
      <w:r>
        <w:rPr>
          <w:rFonts w:ascii="Lato" w:eastAsia="Lato" w:hAnsi="Lato" w:cs="Lato"/>
          <w:sz w:val="24"/>
        </w:rPr>
        <w:t xml:space="preserve">, [online] 15(1). Available at: https://doi.org/10.1186/s12889-015-1720-7. </w:t>
      </w:r>
    </w:p>
    <w:p w14:paraId="0F9CB57D" w14:textId="77777777" w:rsidR="000D22CB" w:rsidRDefault="00A64362">
      <w:pPr>
        <w:spacing w:after="238" w:line="360" w:lineRule="auto"/>
        <w:ind w:left="-5" w:right="975" w:hanging="10"/>
      </w:pPr>
      <w:r>
        <w:rPr>
          <w:rFonts w:ascii="Lato" w:eastAsia="Lato" w:hAnsi="Lato" w:cs="Lato"/>
          <w:sz w:val="24"/>
        </w:rPr>
        <w:lastRenderedPageBreak/>
        <w:t xml:space="preserve">Kim, S.H., Kim, S., Cho, G.C., Lee, J.H., Park, E.J. and Lee, D.H. (2021). Characteristics of fall-related head injury versus non-head injury in the older adults. </w:t>
      </w:r>
      <w:r>
        <w:rPr>
          <w:rFonts w:ascii="Lato" w:eastAsia="Lato" w:hAnsi="Lato" w:cs="Lato"/>
          <w:i/>
          <w:sz w:val="24"/>
        </w:rPr>
        <w:t>BMC Geriatrics</w:t>
      </w:r>
      <w:r>
        <w:rPr>
          <w:rFonts w:ascii="Lato" w:eastAsia="Lato" w:hAnsi="Lato" w:cs="Lato"/>
          <w:sz w:val="24"/>
        </w:rPr>
        <w:t xml:space="preserve">, 21(1). Available at: https://doi.org/10.1186/s12877-021-02139-4. </w:t>
      </w:r>
    </w:p>
    <w:p w14:paraId="09EB3CDA" w14:textId="77777777" w:rsidR="000D22CB" w:rsidRDefault="00A64362">
      <w:pPr>
        <w:spacing w:after="238" w:line="360" w:lineRule="auto"/>
        <w:ind w:left="-5" w:right="975" w:hanging="10"/>
      </w:pPr>
      <w:r>
        <w:rPr>
          <w:rFonts w:ascii="Lato" w:eastAsia="Lato" w:hAnsi="Lato" w:cs="Lato"/>
          <w:sz w:val="24"/>
        </w:rPr>
        <w:t xml:space="preserve">Kool, B., </w:t>
      </w:r>
      <w:proofErr w:type="spellStart"/>
      <w:r>
        <w:rPr>
          <w:rFonts w:ascii="Lato" w:eastAsia="Lato" w:hAnsi="Lato" w:cs="Lato"/>
          <w:sz w:val="24"/>
        </w:rPr>
        <w:t>Ameratunga</w:t>
      </w:r>
      <w:proofErr w:type="spellEnd"/>
      <w:r>
        <w:rPr>
          <w:rFonts w:ascii="Lato" w:eastAsia="Lato" w:hAnsi="Lato" w:cs="Lato"/>
          <w:sz w:val="24"/>
        </w:rPr>
        <w:t xml:space="preserve">, S. and Jackson, R. (2009). The role of alcohol in unintentional falls among young and middle-aged adults: a systematic review of epidemiological studies. </w:t>
      </w:r>
      <w:r>
        <w:rPr>
          <w:rFonts w:ascii="Lato" w:eastAsia="Lato" w:hAnsi="Lato" w:cs="Lato"/>
          <w:i/>
          <w:sz w:val="24"/>
        </w:rPr>
        <w:t>Injury Prevention</w:t>
      </w:r>
      <w:r>
        <w:rPr>
          <w:rFonts w:ascii="Lato" w:eastAsia="Lato" w:hAnsi="Lato" w:cs="Lato"/>
          <w:sz w:val="24"/>
        </w:rPr>
        <w:t xml:space="preserve">, 15(5), pp.341–347. Available at: https://doi.org/10.1136/ip.2008.021303. </w:t>
      </w:r>
    </w:p>
    <w:p w14:paraId="208A32C4" w14:textId="77777777" w:rsidR="000D22CB" w:rsidRDefault="00A64362">
      <w:pPr>
        <w:spacing w:after="238" w:line="360" w:lineRule="auto"/>
        <w:ind w:left="-5" w:right="975" w:hanging="10"/>
      </w:pPr>
      <w:r>
        <w:rPr>
          <w:rFonts w:ascii="Lato" w:eastAsia="Lato" w:hAnsi="Lato" w:cs="Lato"/>
          <w:sz w:val="24"/>
        </w:rPr>
        <w:t xml:space="preserve">Kool, B., </w:t>
      </w:r>
      <w:proofErr w:type="spellStart"/>
      <w:r>
        <w:rPr>
          <w:rFonts w:ascii="Lato" w:eastAsia="Lato" w:hAnsi="Lato" w:cs="Lato"/>
          <w:sz w:val="24"/>
        </w:rPr>
        <w:t>Ameratunga</w:t>
      </w:r>
      <w:proofErr w:type="spellEnd"/>
      <w:r>
        <w:rPr>
          <w:rFonts w:ascii="Lato" w:eastAsia="Lato" w:hAnsi="Lato" w:cs="Lato"/>
          <w:sz w:val="24"/>
        </w:rPr>
        <w:t xml:space="preserve">, S., Robinson, E., </w:t>
      </w:r>
      <w:proofErr w:type="spellStart"/>
      <w:r>
        <w:rPr>
          <w:rFonts w:ascii="Lato" w:eastAsia="Lato" w:hAnsi="Lato" w:cs="Lato"/>
          <w:sz w:val="24"/>
        </w:rPr>
        <w:t>Crengle</w:t>
      </w:r>
      <w:proofErr w:type="spellEnd"/>
      <w:r>
        <w:rPr>
          <w:rFonts w:ascii="Lato" w:eastAsia="Lato" w:hAnsi="Lato" w:cs="Lato"/>
          <w:sz w:val="24"/>
        </w:rPr>
        <w:t xml:space="preserve">, S. and Jackson, R. (2008). The contribution of alcohol to falls at home among working-aged adults. </w:t>
      </w:r>
      <w:r>
        <w:rPr>
          <w:rFonts w:ascii="Lato" w:eastAsia="Lato" w:hAnsi="Lato" w:cs="Lato"/>
          <w:i/>
          <w:sz w:val="24"/>
        </w:rPr>
        <w:t>Alcohol</w:t>
      </w:r>
      <w:r>
        <w:rPr>
          <w:rFonts w:ascii="Lato" w:eastAsia="Lato" w:hAnsi="Lato" w:cs="Lato"/>
          <w:sz w:val="24"/>
        </w:rPr>
        <w:t xml:space="preserve">, 42(5), pp.383–388. Available at: https://doi.org/10.1016/j.alcohol.2008.04.004. </w:t>
      </w:r>
    </w:p>
    <w:p w14:paraId="70CA4C30" w14:textId="77777777" w:rsidR="000D22CB" w:rsidRDefault="00A64362">
      <w:pPr>
        <w:spacing w:after="121"/>
        <w:ind w:left="-5" w:right="975" w:hanging="10"/>
      </w:pPr>
      <w:proofErr w:type="spellStart"/>
      <w:r>
        <w:rPr>
          <w:rFonts w:ascii="Lato" w:eastAsia="Lato" w:hAnsi="Lato" w:cs="Lato"/>
          <w:sz w:val="24"/>
        </w:rPr>
        <w:t>Mukamal</w:t>
      </w:r>
      <w:proofErr w:type="spellEnd"/>
      <w:r>
        <w:rPr>
          <w:rFonts w:ascii="Lato" w:eastAsia="Lato" w:hAnsi="Lato" w:cs="Lato"/>
          <w:sz w:val="24"/>
        </w:rPr>
        <w:t xml:space="preserve">, K.J., Mittleman, M.A., Longstreth, W.T., Newman, A.B., Fried, L.P. and </w:t>
      </w:r>
    </w:p>
    <w:p w14:paraId="1BD9B61D" w14:textId="77777777" w:rsidR="000D22CB" w:rsidRDefault="00A64362">
      <w:pPr>
        <w:spacing w:after="121"/>
        <w:ind w:left="-5" w:right="975" w:hanging="10"/>
      </w:pPr>
      <w:proofErr w:type="spellStart"/>
      <w:r>
        <w:rPr>
          <w:rFonts w:ascii="Lato" w:eastAsia="Lato" w:hAnsi="Lato" w:cs="Lato"/>
          <w:sz w:val="24"/>
        </w:rPr>
        <w:t>Siscovick</w:t>
      </w:r>
      <w:proofErr w:type="spellEnd"/>
      <w:r>
        <w:rPr>
          <w:rFonts w:ascii="Lato" w:eastAsia="Lato" w:hAnsi="Lato" w:cs="Lato"/>
          <w:sz w:val="24"/>
        </w:rPr>
        <w:t xml:space="preserve">, D.S. (2004). Self-Reported Alcohol Consumption and Falls in Older Adults: </w:t>
      </w:r>
    </w:p>
    <w:p w14:paraId="0A2C46F0" w14:textId="77777777" w:rsidR="000D22CB" w:rsidRDefault="00A64362">
      <w:pPr>
        <w:spacing w:after="121"/>
        <w:ind w:left="-5" w:right="975" w:hanging="10"/>
      </w:pPr>
      <w:r>
        <w:rPr>
          <w:rFonts w:ascii="Lato" w:eastAsia="Lato" w:hAnsi="Lato" w:cs="Lato"/>
          <w:sz w:val="24"/>
        </w:rPr>
        <w:t xml:space="preserve">Cross-Sectional and Longitudinal Analyses of the Cardiovascular Health Study. </w:t>
      </w:r>
    </w:p>
    <w:p w14:paraId="5FAA14D7" w14:textId="77777777" w:rsidR="000D22CB" w:rsidRDefault="00A64362">
      <w:pPr>
        <w:spacing w:after="238" w:line="360" w:lineRule="auto"/>
        <w:ind w:left="-5" w:right="975" w:hanging="10"/>
      </w:pPr>
      <w:r>
        <w:rPr>
          <w:rFonts w:ascii="Lato" w:eastAsia="Lato" w:hAnsi="Lato" w:cs="Lato"/>
          <w:i/>
          <w:sz w:val="24"/>
        </w:rPr>
        <w:t>Journal of the American Geriatrics Society</w:t>
      </w:r>
      <w:r>
        <w:rPr>
          <w:rFonts w:ascii="Lato" w:eastAsia="Lato" w:hAnsi="Lato" w:cs="Lato"/>
          <w:sz w:val="24"/>
        </w:rPr>
        <w:t xml:space="preserve">, 52(7), pp.1174–1179. Available at: https://doi.org/10.1111/j.1532-5415.2004.52318.x. </w:t>
      </w:r>
    </w:p>
    <w:p w14:paraId="1AEE6A07" w14:textId="77777777" w:rsidR="000D22CB" w:rsidRDefault="00A64362">
      <w:pPr>
        <w:spacing w:after="121"/>
        <w:ind w:left="-5" w:right="975" w:hanging="10"/>
      </w:pPr>
      <w:r>
        <w:rPr>
          <w:rFonts w:ascii="Lato" w:eastAsia="Lato" w:hAnsi="Lato" w:cs="Lato"/>
          <w:sz w:val="24"/>
        </w:rPr>
        <w:t xml:space="preserve">NICE (2019). </w:t>
      </w:r>
      <w:r>
        <w:rPr>
          <w:rFonts w:ascii="Lato" w:eastAsia="Lato" w:hAnsi="Lato" w:cs="Lato"/>
          <w:i/>
          <w:sz w:val="24"/>
        </w:rPr>
        <w:t>CKS is only available in the UK</w:t>
      </w:r>
      <w:r>
        <w:rPr>
          <w:rFonts w:ascii="Lato" w:eastAsia="Lato" w:hAnsi="Lato" w:cs="Lato"/>
          <w:sz w:val="24"/>
        </w:rPr>
        <w:t xml:space="preserve">. [online] NICE. Available at: </w:t>
      </w:r>
    </w:p>
    <w:p w14:paraId="476653ED" w14:textId="77777777" w:rsidR="000D22CB" w:rsidRDefault="00A64362">
      <w:pPr>
        <w:spacing w:after="240" w:line="360" w:lineRule="auto"/>
        <w:ind w:right="212"/>
      </w:pPr>
      <w:r>
        <w:rPr>
          <w:rFonts w:ascii="Lato" w:eastAsia="Lato" w:hAnsi="Lato" w:cs="Lato"/>
          <w:color w:val="0463C1"/>
          <w:sz w:val="24"/>
          <w:u w:val="single" w:color="0463C1"/>
        </w:rPr>
        <w:t>https://cks.nice.org.uk/topics/falls-risk-assessment/backgroundinformation/complications/</w:t>
      </w:r>
      <w:r>
        <w:rPr>
          <w:rFonts w:ascii="Lato" w:eastAsia="Lato" w:hAnsi="Lato" w:cs="Lato"/>
          <w:sz w:val="24"/>
        </w:rPr>
        <w:t xml:space="preserve">. </w:t>
      </w:r>
    </w:p>
    <w:p w14:paraId="3BAE8C94" w14:textId="77777777" w:rsidR="000D22CB" w:rsidRDefault="00A64362">
      <w:pPr>
        <w:spacing w:after="0" w:line="360" w:lineRule="auto"/>
        <w:ind w:left="-5" w:right="975" w:hanging="10"/>
      </w:pPr>
      <w:r>
        <w:rPr>
          <w:rFonts w:ascii="Lato" w:eastAsia="Lato" w:hAnsi="Lato" w:cs="Lato"/>
          <w:sz w:val="24"/>
        </w:rPr>
        <w:t xml:space="preserve">Public Health England (2018). Alcohol and drug treatment for adults: statistics summary 2017 to 2018. [online] GOV.UK. Available at: </w:t>
      </w:r>
    </w:p>
    <w:p w14:paraId="3253EFAB" w14:textId="77777777" w:rsidR="000D22CB" w:rsidRDefault="00A64362">
      <w:pPr>
        <w:spacing w:after="238" w:line="360" w:lineRule="auto"/>
        <w:ind w:left="-5" w:right="975" w:hanging="10"/>
      </w:pPr>
      <w:r>
        <w:rPr>
          <w:rFonts w:ascii="Lato" w:eastAsia="Lato" w:hAnsi="Lato" w:cs="Lato"/>
          <w:sz w:val="24"/>
        </w:rPr>
        <w:t xml:space="preserve">https://www.gov.uk/government/statistics/substance-misuse-treatment-for-adultsstatistics-2017-to-2018/alcohol-and-drug-treatment-for-adults-statistics-summary2017-to-2018. </w:t>
      </w:r>
    </w:p>
    <w:p w14:paraId="591E4E28" w14:textId="77777777" w:rsidR="000D22CB" w:rsidRDefault="00A64362">
      <w:pPr>
        <w:spacing w:after="238" w:line="360" w:lineRule="auto"/>
        <w:ind w:left="-5" w:right="975" w:hanging="10"/>
      </w:pPr>
      <w:r>
        <w:rPr>
          <w:rFonts w:ascii="Lato" w:eastAsia="Lato" w:hAnsi="Lato" w:cs="Lato"/>
          <w:sz w:val="24"/>
        </w:rPr>
        <w:t xml:space="preserve">Qian, X.X., Chau, P.H., Kwan, C.W., Lou, V.W.Q., Leung, A.Y.M., Ho, M., Fong, D.Y.T. and Chi, I. (2020). Investigating Risk Factors for Falls Among Community-Dwelling Older Adults According to Who’s Risk Factor Model for Falls. </w:t>
      </w:r>
      <w:r>
        <w:rPr>
          <w:rFonts w:ascii="Lato" w:eastAsia="Lato" w:hAnsi="Lato" w:cs="Lato"/>
          <w:i/>
          <w:sz w:val="24"/>
        </w:rPr>
        <w:t>The journal of nutrition, health &amp; aging</w:t>
      </w:r>
      <w:r>
        <w:rPr>
          <w:rFonts w:ascii="Lato" w:eastAsia="Lato" w:hAnsi="Lato" w:cs="Lato"/>
          <w:sz w:val="24"/>
        </w:rPr>
        <w:t xml:space="preserve">, 25(4). Available at: https://doi.org/10.1007/s12603-020-1539-5. </w:t>
      </w:r>
    </w:p>
    <w:p w14:paraId="7AA948F7" w14:textId="77777777" w:rsidR="000D22CB" w:rsidRDefault="00A64362">
      <w:pPr>
        <w:spacing w:after="238" w:line="360" w:lineRule="auto"/>
        <w:ind w:left="-5" w:right="975" w:hanging="10"/>
      </w:pPr>
      <w:r>
        <w:rPr>
          <w:rFonts w:ascii="Lato" w:eastAsia="Lato" w:hAnsi="Lato" w:cs="Lato"/>
          <w:sz w:val="24"/>
        </w:rPr>
        <w:lastRenderedPageBreak/>
        <w:t xml:space="preserve">Shakya, I., Bergen, G., Haddad, Y.K., </w:t>
      </w:r>
      <w:proofErr w:type="spellStart"/>
      <w:r>
        <w:rPr>
          <w:rFonts w:ascii="Lato" w:eastAsia="Lato" w:hAnsi="Lato" w:cs="Lato"/>
          <w:sz w:val="24"/>
        </w:rPr>
        <w:t>Kakara</w:t>
      </w:r>
      <w:proofErr w:type="spellEnd"/>
      <w:r>
        <w:rPr>
          <w:rFonts w:ascii="Lato" w:eastAsia="Lato" w:hAnsi="Lato" w:cs="Lato"/>
          <w:sz w:val="24"/>
        </w:rPr>
        <w:t xml:space="preserve">, R. and Moreland, B.L. (2020). Fall-related emergency department visits involving alcohol among older adults. </w:t>
      </w:r>
      <w:r>
        <w:rPr>
          <w:rFonts w:ascii="Lato" w:eastAsia="Lato" w:hAnsi="Lato" w:cs="Lato"/>
          <w:i/>
          <w:sz w:val="24"/>
        </w:rPr>
        <w:t>Journal of Safety Research</w:t>
      </w:r>
      <w:r>
        <w:rPr>
          <w:rFonts w:ascii="Lato" w:eastAsia="Lato" w:hAnsi="Lato" w:cs="Lato"/>
          <w:sz w:val="24"/>
        </w:rPr>
        <w:t xml:space="preserve">, 74. Available at: https://doi.org/10.1016/j.jsr.2020.06.001. </w:t>
      </w:r>
    </w:p>
    <w:p w14:paraId="4B613646" w14:textId="77777777" w:rsidR="000D22CB" w:rsidRDefault="00A64362">
      <w:pPr>
        <w:spacing w:after="238" w:line="360" w:lineRule="auto"/>
        <w:ind w:left="-5" w:right="975" w:hanging="10"/>
      </w:pPr>
      <w:r>
        <w:rPr>
          <w:rFonts w:ascii="Lato" w:eastAsia="Lato" w:hAnsi="Lato" w:cs="Lato"/>
          <w:sz w:val="24"/>
        </w:rPr>
        <w:t xml:space="preserve">Stevens, J.A. (2005). Gender differences for non-fatal unintentional fall related injuries among older adults. </w:t>
      </w:r>
      <w:r>
        <w:rPr>
          <w:rFonts w:ascii="Lato" w:eastAsia="Lato" w:hAnsi="Lato" w:cs="Lato"/>
          <w:i/>
          <w:sz w:val="24"/>
        </w:rPr>
        <w:t>Injury Prevention</w:t>
      </w:r>
      <w:r>
        <w:rPr>
          <w:rFonts w:ascii="Lato" w:eastAsia="Lato" w:hAnsi="Lato" w:cs="Lato"/>
          <w:sz w:val="24"/>
        </w:rPr>
        <w:t xml:space="preserve">, 11(2), pp.115–119. Available at: https://doi.org/10.1136/ip.2004.005835. </w:t>
      </w:r>
    </w:p>
    <w:p w14:paraId="6B6BEFB9" w14:textId="77777777" w:rsidR="000D22CB" w:rsidRDefault="00A64362">
      <w:pPr>
        <w:spacing w:after="240" w:line="360" w:lineRule="auto"/>
        <w:ind w:left="-5" w:right="1331" w:hanging="10"/>
        <w:jc w:val="both"/>
      </w:pPr>
      <w:r>
        <w:rPr>
          <w:rFonts w:ascii="Lato" w:eastAsia="Lato" w:hAnsi="Lato" w:cs="Lato"/>
          <w:sz w:val="24"/>
        </w:rPr>
        <w:t xml:space="preserve">Stewart, C. (2022). </w:t>
      </w:r>
      <w:r>
        <w:rPr>
          <w:rFonts w:ascii="Lato" w:eastAsia="Lato" w:hAnsi="Lato" w:cs="Lato"/>
          <w:i/>
          <w:sz w:val="24"/>
        </w:rPr>
        <w:t>Alcohol units consumed in England by gender &amp; age 2019</w:t>
      </w:r>
      <w:r>
        <w:rPr>
          <w:rFonts w:ascii="Lato" w:eastAsia="Lato" w:hAnsi="Lato" w:cs="Lato"/>
          <w:sz w:val="24"/>
        </w:rPr>
        <w:t xml:space="preserve">. [online] Statista. Available at: https://www.statista.com/statistics/369808/alcohol-unitsconsumed-by-gender-and-age-in-england/. </w:t>
      </w:r>
    </w:p>
    <w:p w14:paraId="26D8734F" w14:textId="77777777" w:rsidR="000D22CB" w:rsidRDefault="00A64362">
      <w:pPr>
        <w:spacing w:after="238" w:line="360" w:lineRule="auto"/>
        <w:ind w:left="-5" w:right="975" w:hanging="10"/>
      </w:pPr>
      <w:r>
        <w:rPr>
          <w:rFonts w:ascii="Lato" w:eastAsia="Lato" w:hAnsi="Lato" w:cs="Lato"/>
          <w:sz w:val="24"/>
        </w:rPr>
        <w:t xml:space="preserve">Sun, Y., Zhang, B., Yao, Q., Ma, Y., Lin, Y., Xu, M., Hu, M., Hao, J., Jiang, M., Qiu, C. and Zhu, C. (2022). Association between usual alcohol consumption and risk of falls in middle-aged and older Chinese adults. </w:t>
      </w:r>
      <w:r>
        <w:rPr>
          <w:rFonts w:ascii="Lato" w:eastAsia="Lato" w:hAnsi="Lato" w:cs="Lato"/>
          <w:i/>
          <w:sz w:val="24"/>
        </w:rPr>
        <w:t>BMC Geriatrics</w:t>
      </w:r>
      <w:r>
        <w:rPr>
          <w:rFonts w:ascii="Lato" w:eastAsia="Lato" w:hAnsi="Lato" w:cs="Lato"/>
          <w:sz w:val="24"/>
        </w:rPr>
        <w:t xml:space="preserve">, 22(1). Available at: https://doi.org/10.1186/s12877-022-03429-1. </w:t>
      </w:r>
    </w:p>
    <w:p w14:paraId="58CC7524" w14:textId="77777777" w:rsidR="000D22CB" w:rsidRDefault="00A64362">
      <w:pPr>
        <w:spacing w:after="238" w:line="360" w:lineRule="auto"/>
        <w:ind w:left="-5" w:right="975" w:hanging="10"/>
      </w:pPr>
      <w:r>
        <w:rPr>
          <w:rFonts w:ascii="Lato" w:eastAsia="Lato" w:hAnsi="Lato" w:cs="Lato"/>
          <w:sz w:val="24"/>
        </w:rPr>
        <w:t xml:space="preserve">Tan, G.J., Tan, M.P., </w:t>
      </w:r>
      <w:proofErr w:type="spellStart"/>
      <w:r>
        <w:rPr>
          <w:rFonts w:ascii="Lato" w:eastAsia="Lato" w:hAnsi="Lato" w:cs="Lato"/>
          <w:sz w:val="24"/>
        </w:rPr>
        <w:t>Luben</w:t>
      </w:r>
      <w:proofErr w:type="spellEnd"/>
      <w:r>
        <w:rPr>
          <w:rFonts w:ascii="Lato" w:eastAsia="Lato" w:hAnsi="Lato" w:cs="Lato"/>
          <w:sz w:val="24"/>
        </w:rPr>
        <w:t xml:space="preserve">, R.N., Wareham, N.J., </w:t>
      </w:r>
      <w:proofErr w:type="spellStart"/>
      <w:r>
        <w:rPr>
          <w:rFonts w:ascii="Lato" w:eastAsia="Lato" w:hAnsi="Lato" w:cs="Lato"/>
          <w:sz w:val="24"/>
        </w:rPr>
        <w:t>Khaw</w:t>
      </w:r>
      <w:proofErr w:type="spellEnd"/>
      <w:r>
        <w:rPr>
          <w:rFonts w:ascii="Lato" w:eastAsia="Lato" w:hAnsi="Lato" w:cs="Lato"/>
          <w:sz w:val="24"/>
        </w:rPr>
        <w:t xml:space="preserve">, K. and Myint, P.K. (2021). The relationship between alcohol intake and falls hospitalization: Results from the </w:t>
      </w:r>
      <w:proofErr w:type="spellStart"/>
      <w:r>
        <w:rPr>
          <w:rFonts w:ascii="Lato" w:eastAsia="Lato" w:hAnsi="Lato" w:cs="Lato"/>
          <w:sz w:val="24"/>
        </w:rPr>
        <w:t>EPICNorfolk</w:t>
      </w:r>
      <w:proofErr w:type="spellEnd"/>
      <w:r>
        <w:rPr>
          <w:rFonts w:ascii="Lato" w:eastAsia="Lato" w:hAnsi="Lato" w:cs="Lato"/>
          <w:sz w:val="24"/>
        </w:rPr>
        <w:t xml:space="preserve">. </w:t>
      </w:r>
      <w:r>
        <w:rPr>
          <w:rFonts w:ascii="Lato" w:eastAsia="Lato" w:hAnsi="Lato" w:cs="Lato"/>
          <w:i/>
          <w:sz w:val="24"/>
        </w:rPr>
        <w:t>Geriatrics &amp; Gerontology International</w:t>
      </w:r>
      <w:r>
        <w:rPr>
          <w:rFonts w:ascii="Lato" w:eastAsia="Lato" w:hAnsi="Lato" w:cs="Lato"/>
          <w:sz w:val="24"/>
        </w:rPr>
        <w:t xml:space="preserve">, [online] 21(8), pp.657–663. Available at: https://doi.org/10.1111/ggi.14219. </w:t>
      </w:r>
    </w:p>
    <w:p w14:paraId="36B6BEF2" w14:textId="77777777" w:rsidR="000D22CB" w:rsidRDefault="00A64362">
      <w:pPr>
        <w:spacing w:after="238" w:line="360" w:lineRule="auto"/>
        <w:ind w:left="-5" w:right="975" w:hanging="10"/>
      </w:pPr>
      <w:r>
        <w:rPr>
          <w:rFonts w:ascii="Lato" w:eastAsia="Lato" w:hAnsi="Lato" w:cs="Lato"/>
          <w:sz w:val="24"/>
        </w:rPr>
        <w:t xml:space="preserve">Taylor, B., Irving, H.M., </w:t>
      </w:r>
      <w:proofErr w:type="spellStart"/>
      <w:r>
        <w:rPr>
          <w:rFonts w:ascii="Lato" w:eastAsia="Lato" w:hAnsi="Lato" w:cs="Lato"/>
          <w:sz w:val="24"/>
        </w:rPr>
        <w:t>Kanteres</w:t>
      </w:r>
      <w:proofErr w:type="spellEnd"/>
      <w:r>
        <w:rPr>
          <w:rFonts w:ascii="Lato" w:eastAsia="Lato" w:hAnsi="Lato" w:cs="Lato"/>
          <w:sz w:val="24"/>
        </w:rPr>
        <w:t xml:space="preserve">, F., Room, R., Borges, G., </w:t>
      </w:r>
      <w:proofErr w:type="spellStart"/>
      <w:r>
        <w:rPr>
          <w:rFonts w:ascii="Lato" w:eastAsia="Lato" w:hAnsi="Lato" w:cs="Lato"/>
          <w:sz w:val="24"/>
        </w:rPr>
        <w:t>Cherpitel</w:t>
      </w:r>
      <w:proofErr w:type="spellEnd"/>
      <w:r>
        <w:rPr>
          <w:rFonts w:ascii="Lato" w:eastAsia="Lato" w:hAnsi="Lato" w:cs="Lato"/>
          <w:sz w:val="24"/>
        </w:rPr>
        <w:t xml:space="preserve">, C., Greenfield, T. and Rehm, J. (2010). The more you drink, the harder you fall: A systematic review and meta-analysis of how acute alcohol consumption and injury or collision risk increase together. </w:t>
      </w:r>
      <w:r>
        <w:rPr>
          <w:rFonts w:ascii="Lato" w:eastAsia="Lato" w:hAnsi="Lato" w:cs="Lato"/>
          <w:i/>
          <w:sz w:val="24"/>
        </w:rPr>
        <w:t>Drug and Alcohol Dependence</w:t>
      </w:r>
      <w:r>
        <w:rPr>
          <w:rFonts w:ascii="Lato" w:eastAsia="Lato" w:hAnsi="Lato" w:cs="Lato"/>
          <w:sz w:val="24"/>
        </w:rPr>
        <w:t xml:space="preserve">, 110(1-2), pp.108–116. Available at: https://doi.org/10.1016/j.drugalcdep.2010.02.011. </w:t>
      </w:r>
    </w:p>
    <w:p w14:paraId="1BC80DBA" w14:textId="77777777" w:rsidR="000D22CB" w:rsidRDefault="00A64362">
      <w:pPr>
        <w:spacing w:after="240" w:line="360" w:lineRule="auto"/>
        <w:ind w:left="-5" w:right="982" w:hanging="10"/>
        <w:jc w:val="both"/>
      </w:pPr>
      <w:r>
        <w:rPr>
          <w:rFonts w:ascii="Lato" w:eastAsia="Lato" w:hAnsi="Lato" w:cs="Lato"/>
          <w:sz w:val="24"/>
        </w:rPr>
        <w:t xml:space="preserve">UK Parliament (2023). </w:t>
      </w:r>
      <w:r>
        <w:rPr>
          <w:rFonts w:ascii="Lato" w:eastAsia="Lato" w:hAnsi="Lato" w:cs="Lato"/>
          <w:i/>
          <w:sz w:val="24"/>
        </w:rPr>
        <w:t>Alcohol treatment services - Committees - UK Parliament</w:t>
      </w:r>
      <w:r>
        <w:rPr>
          <w:rFonts w:ascii="Lato" w:eastAsia="Lato" w:hAnsi="Lato" w:cs="Lato"/>
          <w:sz w:val="24"/>
        </w:rPr>
        <w:t xml:space="preserve">. [online] Parliament.uk. Available at: https://committees.parliament.uk/work/7257/alcoholtreatment-services/. </w:t>
      </w:r>
    </w:p>
    <w:p w14:paraId="64C35ACE" w14:textId="77777777" w:rsidR="000D22CB" w:rsidRDefault="00A64362">
      <w:pPr>
        <w:spacing w:after="238" w:line="360" w:lineRule="auto"/>
        <w:ind w:left="-5" w:right="975" w:hanging="10"/>
      </w:pPr>
      <w:r>
        <w:rPr>
          <w:rFonts w:ascii="Lato" w:eastAsia="Lato" w:hAnsi="Lato" w:cs="Lato"/>
          <w:sz w:val="24"/>
        </w:rPr>
        <w:t xml:space="preserve">Weil, Z.M., Corrigan, J.D. and </w:t>
      </w:r>
      <w:proofErr w:type="spellStart"/>
      <w:r>
        <w:rPr>
          <w:rFonts w:ascii="Lato" w:eastAsia="Lato" w:hAnsi="Lato" w:cs="Lato"/>
          <w:sz w:val="24"/>
        </w:rPr>
        <w:t>Karelina</w:t>
      </w:r>
      <w:proofErr w:type="spellEnd"/>
      <w:r>
        <w:rPr>
          <w:rFonts w:ascii="Lato" w:eastAsia="Lato" w:hAnsi="Lato" w:cs="Lato"/>
          <w:sz w:val="24"/>
        </w:rPr>
        <w:t xml:space="preserve">, K. (2018). Alcohol Use Disorder and Traumatic Brain Injury. </w:t>
      </w:r>
      <w:r>
        <w:rPr>
          <w:rFonts w:ascii="Lato" w:eastAsia="Lato" w:hAnsi="Lato" w:cs="Lato"/>
          <w:i/>
          <w:sz w:val="24"/>
        </w:rPr>
        <w:t xml:space="preserve">Alcohol </w:t>
      </w:r>
      <w:proofErr w:type="gramStart"/>
      <w:r>
        <w:rPr>
          <w:rFonts w:ascii="Lato" w:eastAsia="Lato" w:hAnsi="Lato" w:cs="Lato"/>
          <w:i/>
          <w:sz w:val="24"/>
        </w:rPr>
        <w:t>research :</w:t>
      </w:r>
      <w:proofErr w:type="gramEnd"/>
      <w:r>
        <w:rPr>
          <w:rFonts w:ascii="Lato" w:eastAsia="Lato" w:hAnsi="Lato" w:cs="Lato"/>
          <w:i/>
          <w:sz w:val="24"/>
        </w:rPr>
        <w:t xml:space="preserve"> current reviews</w:t>
      </w:r>
      <w:r>
        <w:rPr>
          <w:rFonts w:ascii="Lato" w:eastAsia="Lato" w:hAnsi="Lato" w:cs="Lato"/>
          <w:sz w:val="24"/>
        </w:rPr>
        <w:t xml:space="preserve">, [online] 39(2), pp.171–180. Available at: </w:t>
      </w:r>
      <w:r>
        <w:rPr>
          <w:rFonts w:ascii="Lato" w:eastAsia="Lato" w:hAnsi="Lato" w:cs="Lato"/>
          <w:sz w:val="24"/>
        </w:rPr>
        <w:lastRenderedPageBreak/>
        <w:t xml:space="preserve">https://www.ncbi.nlm.nih.gov/pmc/articles/PMC6561403/#:~:text=Alcohol%20into xication%20is%20one%20of. </w:t>
      </w:r>
    </w:p>
    <w:p w14:paraId="357F808E" w14:textId="77777777" w:rsidR="000D22CB" w:rsidRDefault="00A64362">
      <w:pPr>
        <w:spacing w:after="238" w:line="360" w:lineRule="auto"/>
        <w:ind w:left="-5" w:right="975" w:hanging="10"/>
      </w:pPr>
      <w:r>
        <w:rPr>
          <w:rFonts w:ascii="Lato" w:eastAsia="Lato" w:hAnsi="Lato" w:cs="Lato"/>
          <w:sz w:val="24"/>
        </w:rPr>
        <w:t xml:space="preserve">Wong, H., </w:t>
      </w:r>
      <w:proofErr w:type="spellStart"/>
      <w:r>
        <w:rPr>
          <w:rFonts w:ascii="Lato" w:eastAsia="Lato" w:hAnsi="Lato" w:cs="Lato"/>
          <w:sz w:val="24"/>
        </w:rPr>
        <w:t>Heuberger</w:t>
      </w:r>
      <w:proofErr w:type="spellEnd"/>
      <w:r>
        <w:rPr>
          <w:rFonts w:ascii="Lato" w:eastAsia="Lato" w:hAnsi="Lato" w:cs="Lato"/>
          <w:sz w:val="24"/>
        </w:rPr>
        <w:t xml:space="preserve">, R., </w:t>
      </w:r>
      <w:proofErr w:type="spellStart"/>
      <w:r>
        <w:rPr>
          <w:rFonts w:ascii="Lato" w:eastAsia="Lato" w:hAnsi="Lato" w:cs="Lato"/>
          <w:sz w:val="24"/>
        </w:rPr>
        <w:t>Logomarsino</w:t>
      </w:r>
      <w:proofErr w:type="spellEnd"/>
      <w:r>
        <w:rPr>
          <w:rFonts w:ascii="Lato" w:eastAsia="Lato" w:hAnsi="Lato" w:cs="Lato"/>
          <w:sz w:val="24"/>
        </w:rPr>
        <w:t xml:space="preserve">, J. and </w:t>
      </w:r>
      <w:proofErr w:type="spellStart"/>
      <w:r>
        <w:rPr>
          <w:rFonts w:ascii="Lato" w:eastAsia="Lato" w:hAnsi="Lato" w:cs="Lato"/>
          <w:sz w:val="24"/>
        </w:rPr>
        <w:t>Hewlings</w:t>
      </w:r>
      <w:proofErr w:type="spellEnd"/>
      <w:r>
        <w:rPr>
          <w:rFonts w:ascii="Lato" w:eastAsia="Lato" w:hAnsi="Lato" w:cs="Lato"/>
          <w:sz w:val="24"/>
        </w:rPr>
        <w:t xml:space="preserve">, S. (2016). Associations between alcohol use, polypharmacy and falls in older adults. </w:t>
      </w:r>
      <w:r>
        <w:rPr>
          <w:rFonts w:ascii="Lato" w:eastAsia="Lato" w:hAnsi="Lato" w:cs="Lato"/>
          <w:i/>
          <w:sz w:val="24"/>
        </w:rPr>
        <w:t>Nursing Older People</w:t>
      </w:r>
      <w:r>
        <w:rPr>
          <w:rFonts w:ascii="Lato" w:eastAsia="Lato" w:hAnsi="Lato" w:cs="Lato"/>
          <w:sz w:val="24"/>
        </w:rPr>
        <w:t xml:space="preserve">, [online] 28(1), pp.30–36. Available at: https://doi.org/10.7748/nop.28.1.30.s22. </w:t>
      </w:r>
    </w:p>
    <w:p w14:paraId="77739AC1" w14:textId="1B8CCEF3" w:rsidR="000D22CB" w:rsidRDefault="00A64362">
      <w:pPr>
        <w:spacing w:after="0" w:line="360" w:lineRule="auto"/>
        <w:ind w:left="-5" w:right="975" w:hanging="10"/>
      </w:pPr>
      <w:r>
        <w:rPr>
          <w:rFonts w:ascii="Lato" w:eastAsia="Lato" w:hAnsi="Lato" w:cs="Lato"/>
          <w:sz w:val="24"/>
        </w:rPr>
        <w:t xml:space="preserve">Woods, C., Jones, R. and Usher, K. (2019). The impact of unintentional </w:t>
      </w:r>
      <w:r w:rsidR="008E6234">
        <w:rPr>
          <w:rFonts w:ascii="Lato" w:eastAsia="Lato" w:hAnsi="Lato" w:cs="Lato"/>
          <w:sz w:val="24"/>
        </w:rPr>
        <w:t>alcohol related</w:t>
      </w:r>
      <w:r>
        <w:rPr>
          <w:rFonts w:ascii="Lato" w:eastAsia="Lato" w:hAnsi="Lato" w:cs="Lato"/>
          <w:sz w:val="24"/>
        </w:rPr>
        <w:t xml:space="preserve"> falls on emergency departments. </w:t>
      </w:r>
      <w:r>
        <w:rPr>
          <w:rFonts w:ascii="Lato" w:eastAsia="Lato" w:hAnsi="Lato" w:cs="Lato"/>
          <w:i/>
          <w:sz w:val="24"/>
        </w:rPr>
        <w:t>Australasian Emergency Care</w:t>
      </w:r>
      <w:r>
        <w:rPr>
          <w:rFonts w:ascii="Lato" w:eastAsia="Lato" w:hAnsi="Lato" w:cs="Lato"/>
          <w:sz w:val="24"/>
        </w:rPr>
        <w:t>, 22(1), pp.22–</w:t>
      </w:r>
    </w:p>
    <w:p w14:paraId="2904CFC8" w14:textId="77777777" w:rsidR="000D22CB" w:rsidRDefault="00A64362">
      <w:pPr>
        <w:spacing w:after="361"/>
        <w:ind w:left="-5" w:right="975" w:hanging="10"/>
      </w:pPr>
      <w:r>
        <w:rPr>
          <w:rFonts w:ascii="Lato" w:eastAsia="Lato" w:hAnsi="Lato" w:cs="Lato"/>
          <w:sz w:val="24"/>
        </w:rPr>
        <w:t xml:space="preserve">27. Available at: https://doi.org/10.1016/j.auec.2018.11.001. </w:t>
      </w:r>
    </w:p>
    <w:p w14:paraId="38A3F443" w14:textId="77777777" w:rsidR="000D22CB" w:rsidRDefault="00A64362">
      <w:pPr>
        <w:spacing w:after="238" w:line="360" w:lineRule="auto"/>
        <w:ind w:left="-5" w:right="975" w:hanging="10"/>
      </w:pPr>
      <w:r>
        <w:rPr>
          <w:rFonts w:ascii="Lato" w:eastAsia="Lato" w:hAnsi="Lato" w:cs="Lato"/>
          <w:sz w:val="24"/>
        </w:rPr>
        <w:t xml:space="preserve">Ye, Y., </w:t>
      </w:r>
      <w:proofErr w:type="spellStart"/>
      <w:r>
        <w:rPr>
          <w:rFonts w:ascii="Lato" w:eastAsia="Lato" w:hAnsi="Lato" w:cs="Lato"/>
          <w:sz w:val="24"/>
        </w:rPr>
        <w:t>Cherpitel</w:t>
      </w:r>
      <w:proofErr w:type="spellEnd"/>
      <w:r>
        <w:rPr>
          <w:rFonts w:ascii="Lato" w:eastAsia="Lato" w:hAnsi="Lato" w:cs="Lato"/>
          <w:sz w:val="24"/>
        </w:rPr>
        <w:t xml:space="preserve">, C.J., </w:t>
      </w:r>
      <w:proofErr w:type="spellStart"/>
      <w:r>
        <w:rPr>
          <w:rFonts w:ascii="Lato" w:eastAsia="Lato" w:hAnsi="Lato" w:cs="Lato"/>
          <w:sz w:val="24"/>
        </w:rPr>
        <w:t>Witbrodt</w:t>
      </w:r>
      <w:proofErr w:type="spellEnd"/>
      <w:r>
        <w:rPr>
          <w:rFonts w:ascii="Lato" w:eastAsia="Lato" w:hAnsi="Lato" w:cs="Lato"/>
          <w:sz w:val="24"/>
        </w:rPr>
        <w:t xml:space="preserve">, J., </w:t>
      </w:r>
      <w:proofErr w:type="spellStart"/>
      <w:r>
        <w:rPr>
          <w:rFonts w:ascii="Lato" w:eastAsia="Lato" w:hAnsi="Lato" w:cs="Lato"/>
          <w:sz w:val="24"/>
        </w:rPr>
        <w:t>Andreuccetti</w:t>
      </w:r>
      <w:proofErr w:type="spellEnd"/>
      <w:r>
        <w:rPr>
          <w:rFonts w:ascii="Lato" w:eastAsia="Lato" w:hAnsi="Lato" w:cs="Lato"/>
          <w:sz w:val="24"/>
        </w:rPr>
        <w:t xml:space="preserve">, G. and Room, R. (2020). The interactive effect of location, alcohol consumption and non-traffic injury. </w:t>
      </w:r>
      <w:r>
        <w:rPr>
          <w:rFonts w:ascii="Lato" w:eastAsia="Lato" w:hAnsi="Lato" w:cs="Lato"/>
          <w:i/>
          <w:sz w:val="24"/>
        </w:rPr>
        <w:t>Addiction</w:t>
      </w:r>
      <w:r>
        <w:rPr>
          <w:rFonts w:ascii="Lato" w:eastAsia="Lato" w:hAnsi="Lato" w:cs="Lato"/>
          <w:sz w:val="24"/>
        </w:rPr>
        <w:t xml:space="preserve">, 115(9), pp.1640–1649. Available at: https://doi.org/10.1111/add.14992. </w:t>
      </w:r>
    </w:p>
    <w:p w14:paraId="04DE888F" w14:textId="77777777" w:rsidR="000D22CB" w:rsidRDefault="00A64362">
      <w:pPr>
        <w:spacing w:after="0" w:line="360" w:lineRule="auto"/>
        <w:ind w:left="-5" w:right="975" w:hanging="10"/>
      </w:pPr>
      <w:r>
        <w:rPr>
          <w:rFonts w:ascii="Lato" w:eastAsia="Lato" w:hAnsi="Lato" w:cs="Lato"/>
          <w:sz w:val="24"/>
        </w:rPr>
        <w:t xml:space="preserve">Yuan, K., Haddad, Y., Law, R., Shakya, I., </w:t>
      </w:r>
      <w:proofErr w:type="spellStart"/>
      <w:r>
        <w:rPr>
          <w:rFonts w:ascii="Lato" w:eastAsia="Lato" w:hAnsi="Lato" w:cs="Lato"/>
          <w:sz w:val="24"/>
        </w:rPr>
        <w:t>Haileyesus</w:t>
      </w:r>
      <w:proofErr w:type="spellEnd"/>
      <w:r>
        <w:rPr>
          <w:rFonts w:ascii="Lato" w:eastAsia="Lato" w:hAnsi="Lato" w:cs="Lato"/>
          <w:sz w:val="24"/>
        </w:rPr>
        <w:t xml:space="preserve">, T., Navon, L., Zhang, L., Liu, Y. and Bergen, G. (2023). Emergency Department Visits for Alcohol-Associated Falls </w:t>
      </w:r>
    </w:p>
    <w:p w14:paraId="68297DBC" w14:textId="77777777" w:rsidR="000D22CB" w:rsidRDefault="00A64362">
      <w:pPr>
        <w:spacing w:after="0" w:line="360" w:lineRule="auto"/>
        <w:ind w:left="-5" w:right="975" w:hanging="10"/>
      </w:pPr>
      <w:r>
        <w:rPr>
          <w:rFonts w:ascii="Lato" w:eastAsia="Lato" w:hAnsi="Lato" w:cs="Lato"/>
          <w:sz w:val="24"/>
        </w:rPr>
        <w:t xml:space="preserve">Among Older Adults in the United States, 2011 to 2020. </w:t>
      </w:r>
      <w:r>
        <w:rPr>
          <w:rFonts w:ascii="Lato" w:eastAsia="Lato" w:hAnsi="Lato" w:cs="Lato"/>
          <w:i/>
          <w:sz w:val="24"/>
        </w:rPr>
        <w:t>Annals of Emergency Medicine</w:t>
      </w:r>
      <w:r>
        <w:rPr>
          <w:rFonts w:ascii="Lato" w:eastAsia="Lato" w:hAnsi="Lato" w:cs="Lato"/>
          <w:sz w:val="24"/>
        </w:rPr>
        <w:t xml:space="preserve">, [online] 82(6), pp.666–677. Available at: </w:t>
      </w:r>
    </w:p>
    <w:p w14:paraId="1AC98072" w14:textId="77777777" w:rsidR="000D22CB" w:rsidRDefault="00A64362">
      <w:pPr>
        <w:spacing w:after="390"/>
        <w:ind w:left="-5" w:right="975" w:hanging="10"/>
      </w:pPr>
      <w:r>
        <w:rPr>
          <w:rFonts w:ascii="Lato" w:eastAsia="Lato" w:hAnsi="Lato" w:cs="Lato"/>
          <w:sz w:val="24"/>
        </w:rPr>
        <w:t xml:space="preserve">https://doi.org/10.1016/j.annemergmed.2023.04.013. </w:t>
      </w:r>
    </w:p>
    <w:p w14:paraId="3F516583" w14:textId="77777777" w:rsidR="000D22CB" w:rsidRDefault="00A64362">
      <w:pPr>
        <w:spacing w:after="0"/>
      </w:pPr>
      <w:r>
        <w:rPr>
          <w:rFonts w:ascii="Lato" w:eastAsia="Lato" w:hAnsi="Lato" w:cs="Lato"/>
          <w:sz w:val="27"/>
        </w:rPr>
        <w:t xml:space="preserve"> </w:t>
      </w:r>
    </w:p>
    <w:p w14:paraId="30B03319" w14:textId="77777777" w:rsidR="000D22CB" w:rsidRDefault="00A64362">
      <w:pPr>
        <w:spacing w:after="0"/>
      </w:pPr>
      <w:r>
        <w:rPr>
          <w:rFonts w:ascii="Times New Roman" w:eastAsia="Times New Roman" w:hAnsi="Times New Roman" w:cs="Times New Roman"/>
          <w:sz w:val="24"/>
        </w:rPr>
        <w:t xml:space="preserve"> </w:t>
      </w:r>
    </w:p>
    <w:sectPr w:rsidR="000D22CB">
      <w:headerReference w:type="even" r:id="rId12"/>
      <w:headerReference w:type="default" r:id="rId13"/>
      <w:footerReference w:type="even" r:id="rId14"/>
      <w:footerReference w:type="default" r:id="rId15"/>
      <w:headerReference w:type="first" r:id="rId16"/>
      <w:footerReference w:type="first" r:id="rId17"/>
      <w:pgSz w:w="11906" w:h="16838"/>
      <w:pgMar w:top="1654" w:right="465" w:bottom="1444" w:left="1445" w:header="8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6D3FD" w14:textId="77777777" w:rsidR="00605F71" w:rsidRDefault="00605F71">
      <w:pPr>
        <w:spacing w:after="0" w:line="240" w:lineRule="auto"/>
      </w:pPr>
      <w:r>
        <w:separator/>
      </w:r>
    </w:p>
  </w:endnote>
  <w:endnote w:type="continuationSeparator" w:id="0">
    <w:p w14:paraId="5A731155" w14:textId="77777777" w:rsidR="00605F71" w:rsidRDefault="0060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E59D" w14:textId="77777777" w:rsidR="000D22CB" w:rsidRDefault="00A64362">
    <w:pPr>
      <w:tabs>
        <w:tab w:val="center" w:pos="8959"/>
      </w:tabs>
      <w:spacing w:after="4"/>
      <w:ind w:left="-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E4483F0" w14:textId="77777777" w:rsidR="000D22CB" w:rsidRDefault="00A64362">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8617" w14:textId="77777777" w:rsidR="000D22CB" w:rsidRDefault="00A64362">
    <w:pPr>
      <w:tabs>
        <w:tab w:val="center" w:pos="8959"/>
      </w:tabs>
      <w:spacing w:after="4"/>
      <w:ind w:left="-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5A8CF43" w14:textId="77777777" w:rsidR="000D22CB" w:rsidRDefault="00A64362">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00C17" w14:textId="77777777" w:rsidR="000D22CB" w:rsidRDefault="00A64362">
    <w:pPr>
      <w:tabs>
        <w:tab w:val="center" w:pos="8959"/>
      </w:tabs>
      <w:spacing w:after="4"/>
      <w:ind w:left="-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EDCB2D6" w14:textId="77777777" w:rsidR="000D22CB" w:rsidRDefault="00A64362">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E3D7C" w14:textId="77777777" w:rsidR="00605F71" w:rsidRDefault="00605F71">
      <w:pPr>
        <w:spacing w:after="0" w:line="240" w:lineRule="auto"/>
      </w:pPr>
      <w:r>
        <w:separator/>
      </w:r>
    </w:p>
  </w:footnote>
  <w:footnote w:type="continuationSeparator" w:id="0">
    <w:p w14:paraId="47095703" w14:textId="77777777" w:rsidR="00605F71" w:rsidRDefault="0060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6B21" w14:textId="77777777" w:rsidR="000D22CB" w:rsidRDefault="00A64362">
    <w:pPr>
      <w:spacing w:after="0"/>
    </w:pPr>
    <w:r>
      <w:rPr>
        <w:noProof/>
      </w:rPr>
      <w:drawing>
        <wp:anchor distT="0" distB="0" distL="114300" distR="114300" simplePos="0" relativeHeight="251658240" behindDoc="0" locked="0" layoutInCell="1" allowOverlap="0" wp14:anchorId="216E115F" wp14:editId="169D33EB">
          <wp:simplePos x="0" y="0"/>
          <wp:positionH relativeFrom="page">
            <wp:posOffset>291409</wp:posOffset>
          </wp:positionH>
          <wp:positionV relativeFrom="page">
            <wp:posOffset>55824</wp:posOffset>
          </wp:positionV>
          <wp:extent cx="7150100" cy="8191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50100" cy="8191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0C04" w14:textId="77777777" w:rsidR="000D22CB" w:rsidRDefault="00A64362">
    <w:pPr>
      <w:spacing w:after="0"/>
    </w:pPr>
    <w:r>
      <w:rPr>
        <w:noProof/>
      </w:rPr>
      <w:drawing>
        <wp:anchor distT="0" distB="0" distL="114300" distR="114300" simplePos="0" relativeHeight="251659264" behindDoc="0" locked="0" layoutInCell="1" allowOverlap="0" wp14:anchorId="27DD8003" wp14:editId="7784AB0F">
          <wp:simplePos x="0" y="0"/>
          <wp:positionH relativeFrom="page">
            <wp:posOffset>291409</wp:posOffset>
          </wp:positionH>
          <wp:positionV relativeFrom="page">
            <wp:posOffset>55824</wp:posOffset>
          </wp:positionV>
          <wp:extent cx="7150100" cy="819150"/>
          <wp:effectExtent l="0" t="0" r="0" b="0"/>
          <wp:wrapSquare wrapText="bothSides"/>
          <wp:docPr id="1894852847" name="Picture 189485284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50100" cy="81915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F32C" w14:textId="77777777" w:rsidR="000D22CB" w:rsidRDefault="00A64362">
    <w:pPr>
      <w:spacing w:after="0"/>
    </w:pPr>
    <w:r>
      <w:rPr>
        <w:noProof/>
      </w:rPr>
      <w:drawing>
        <wp:anchor distT="0" distB="0" distL="114300" distR="114300" simplePos="0" relativeHeight="251660288" behindDoc="0" locked="0" layoutInCell="1" allowOverlap="0" wp14:anchorId="37A35297" wp14:editId="0FA4332A">
          <wp:simplePos x="0" y="0"/>
          <wp:positionH relativeFrom="page">
            <wp:posOffset>291409</wp:posOffset>
          </wp:positionH>
          <wp:positionV relativeFrom="page">
            <wp:posOffset>55824</wp:posOffset>
          </wp:positionV>
          <wp:extent cx="7150100" cy="819150"/>
          <wp:effectExtent l="0" t="0" r="0" b="0"/>
          <wp:wrapSquare wrapText="bothSides"/>
          <wp:docPr id="1190066563" name="Picture 119006656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50100" cy="81915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6546D"/>
    <w:multiLevelType w:val="hybridMultilevel"/>
    <w:tmpl w:val="FFFFFFFF"/>
    <w:lvl w:ilvl="0" w:tplc="6688D28C">
      <w:start w:val="1"/>
      <w:numFmt w:val="bullet"/>
      <w:lvlText w:val="o"/>
      <w:lvlJc w:val="left"/>
      <w:pPr>
        <w:ind w:left="705"/>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1" w:tplc="EF8A20E6">
      <w:start w:val="1"/>
      <w:numFmt w:val="bullet"/>
      <w:lvlText w:val="o"/>
      <w:lvlJc w:val="left"/>
      <w:pPr>
        <w:ind w:left="144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2" w:tplc="65583CF0">
      <w:start w:val="1"/>
      <w:numFmt w:val="bullet"/>
      <w:lvlText w:val="▪"/>
      <w:lvlJc w:val="left"/>
      <w:pPr>
        <w:ind w:left="216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3" w:tplc="22F68C3C">
      <w:start w:val="1"/>
      <w:numFmt w:val="bullet"/>
      <w:lvlText w:val="•"/>
      <w:lvlJc w:val="left"/>
      <w:pPr>
        <w:ind w:left="288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4" w:tplc="6CDA646E">
      <w:start w:val="1"/>
      <w:numFmt w:val="bullet"/>
      <w:lvlText w:val="o"/>
      <w:lvlJc w:val="left"/>
      <w:pPr>
        <w:ind w:left="360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5" w:tplc="35A8C8F0">
      <w:start w:val="1"/>
      <w:numFmt w:val="bullet"/>
      <w:lvlText w:val="▪"/>
      <w:lvlJc w:val="left"/>
      <w:pPr>
        <w:ind w:left="432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6" w:tplc="36D2A310">
      <w:start w:val="1"/>
      <w:numFmt w:val="bullet"/>
      <w:lvlText w:val="•"/>
      <w:lvlJc w:val="left"/>
      <w:pPr>
        <w:ind w:left="504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7" w:tplc="3986385C">
      <w:start w:val="1"/>
      <w:numFmt w:val="bullet"/>
      <w:lvlText w:val="o"/>
      <w:lvlJc w:val="left"/>
      <w:pPr>
        <w:ind w:left="576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lvl w:ilvl="8" w:tplc="9A14673C">
      <w:start w:val="1"/>
      <w:numFmt w:val="bullet"/>
      <w:lvlText w:val="▪"/>
      <w:lvlJc w:val="left"/>
      <w:pPr>
        <w:ind w:left="6480"/>
      </w:pPr>
      <w:rPr>
        <w:rFonts w:ascii="Courier New" w:eastAsia="Courier New" w:hAnsi="Courier New" w:cs="Courier New"/>
        <w:b w:val="0"/>
        <w:i w:val="0"/>
        <w:strike w:val="0"/>
        <w:dstrike w:val="0"/>
        <w:color w:val="000000"/>
        <w:sz w:val="27"/>
        <w:szCs w:val="27"/>
        <w:u w:val="none" w:color="000000"/>
        <w:bdr w:val="none" w:sz="0" w:space="0" w:color="auto"/>
        <w:shd w:val="clear" w:color="auto" w:fill="auto"/>
        <w:vertAlign w:val="baseline"/>
      </w:rPr>
    </w:lvl>
  </w:abstractNum>
  <w:num w:numId="1" w16cid:durableId="189886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B"/>
    <w:rsid w:val="000D22CB"/>
    <w:rsid w:val="001B7AF8"/>
    <w:rsid w:val="00306AA3"/>
    <w:rsid w:val="004A2678"/>
    <w:rsid w:val="00605F71"/>
    <w:rsid w:val="00753305"/>
    <w:rsid w:val="00756463"/>
    <w:rsid w:val="0079721D"/>
    <w:rsid w:val="008C7E27"/>
    <w:rsid w:val="008E6234"/>
    <w:rsid w:val="00A06DE9"/>
    <w:rsid w:val="00A64362"/>
    <w:rsid w:val="00BA78C8"/>
    <w:rsid w:val="00D30E17"/>
    <w:rsid w:val="00DE02F1"/>
    <w:rsid w:val="00E40D3C"/>
    <w:rsid w:val="00F97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1C37"/>
  <w15:docId w15:val="{1C38C0D1-CE5B-AB41-A1D4-DF30B7FE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Microsoft Word - Insights. ALCOHOL AND FALLS. 16.10.24.docx</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Insights. ALCOHOL AND FALLS. 16.10.24.docx</dc:title>
  <dc:subject/>
  <dc:creator>Newbury-Birch, Dorothy</dc:creator>
  <cp:keywords/>
  <cp:lastModifiedBy>Newbury-Birch, Dorothy</cp:lastModifiedBy>
  <cp:revision>3</cp:revision>
  <dcterms:created xsi:type="dcterms:W3CDTF">2024-10-28T11:02:00Z</dcterms:created>
  <dcterms:modified xsi:type="dcterms:W3CDTF">2024-10-28T11:06:00Z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8b980d5961ec013d23191a40d5aa2a8f35ec4360eda46a59db62ebd74e8b74c9</vt:lpwstr>
  </property>
</Properties>
</file>